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540" w:type="dxa"/>
        <w:tblLook w:val="04A0" w:firstRow="1" w:lastRow="0" w:firstColumn="1" w:lastColumn="0" w:noHBand="0" w:noVBand="1"/>
      </w:tblPr>
      <w:tblGrid>
        <w:gridCol w:w="10186"/>
        <w:gridCol w:w="254"/>
      </w:tblGrid>
      <w:tr w:rsidR="00E57ECC" w:rsidRPr="00DF1AA3" w14:paraId="1ACE4399" w14:textId="77777777" w:rsidTr="00C040CE">
        <w:trPr>
          <w:gridAfter w:val="1"/>
          <w:wAfter w:w="90" w:type="dxa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C025C" w14:textId="696B65EF" w:rsidR="007E3D31" w:rsidRDefault="003A73E2" w:rsidP="00FC30C5">
            <w:pPr>
              <w:shd w:val="clear" w:color="auto" w:fill="FFFFFF" w:themeFill="background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Sacramento Employment and Training Agency (SETA)/</w:t>
            </w:r>
            <w:r w:rsidR="0010517C" w:rsidRPr="005741B0">
              <w:rPr>
                <w:rFonts w:ascii="Arial" w:hAnsi="Arial" w:cs="Arial"/>
                <w:sz w:val="28"/>
              </w:rPr>
              <w:t xml:space="preserve">Sacramento Works Youth Committee – </w:t>
            </w:r>
            <w:r w:rsidR="00121249">
              <w:rPr>
                <w:rFonts w:ascii="Arial" w:hAnsi="Arial" w:cs="Arial"/>
                <w:sz w:val="28"/>
              </w:rPr>
              <w:t>Proposers Conference</w:t>
            </w:r>
            <w:r w:rsidR="00E06C70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Notes</w:t>
            </w:r>
          </w:p>
          <w:p w14:paraId="16B354DF" w14:textId="77777777" w:rsidR="00E06C70" w:rsidRPr="00D46CCF" w:rsidRDefault="00121249" w:rsidP="00FC30C5">
            <w:pPr>
              <w:shd w:val="clear" w:color="auto" w:fill="FFFFFF" w:themeFill="background1"/>
              <w:rPr>
                <w:rFonts w:ascii="Arial" w:hAnsi="Arial" w:cs="Arial"/>
                <w:b/>
                <w:u w:val="single"/>
              </w:rPr>
            </w:pPr>
            <w:r w:rsidRPr="00D46CCF">
              <w:rPr>
                <w:rFonts w:ascii="Arial" w:hAnsi="Arial" w:cs="Arial"/>
                <w:b/>
                <w:u w:val="single"/>
              </w:rPr>
              <w:t>Friday, February 8, 2019 – 9</w:t>
            </w:r>
            <w:r w:rsidR="00E06C70" w:rsidRPr="00D46CCF">
              <w:rPr>
                <w:rFonts w:ascii="Arial" w:hAnsi="Arial" w:cs="Arial"/>
                <w:b/>
                <w:u w:val="single"/>
              </w:rPr>
              <w:t>:</w:t>
            </w:r>
            <w:r w:rsidRPr="00D46CCF">
              <w:rPr>
                <w:rFonts w:ascii="Arial" w:hAnsi="Arial" w:cs="Arial"/>
                <w:b/>
                <w:u w:val="single"/>
              </w:rPr>
              <w:t>30 a.m. to</w:t>
            </w:r>
            <w:r w:rsidR="003A73E2">
              <w:rPr>
                <w:rFonts w:ascii="Arial" w:hAnsi="Arial" w:cs="Arial"/>
                <w:b/>
                <w:u w:val="single"/>
              </w:rPr>
              <w:t xml:space="preserve"> </w:t>
            </w:r>
            <w:r w:rsidRPr="00D46CCF">
              <w:rPr>
                <w:rFonts w:ascii="Arial" w:hAnsi="Arial" w:cs="Arial"/>
                <w:b/>
                <w:u w:val="single"/>
              </w:rPr>
              <w:t>11:30 a</w:t>
            </w:r>
            <w:r w:rsidR="00E06C70" w:rsidRPr="00D46CCF">
              <w:rPr>
                <w:rFonts w:ascii="Arial" w:hAnsi="Arial" w:cs="Arial"/>
                <w:b/>
                <w:u w:val="single"/>
              </w:rPr>
              <w:t>.m., SETA Del Paso</w:t>
            </w:r>
          </w:p>
          <w:p w14:paraId="78CBB37E" w14:textId="77777777" w:rsidR="009349A0" w:rsidRPr="00D512FB" w:rsidRDefault="009349A0" w:rsidP="00256DFE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</w:rPr>
            </w:pPr>
          </w:p>
          <w:p w14:paraId="39B1E9BA" w14:textId="429EEBF6" w:rsidR="00543C41" w:rsidRPr="001E56B0" w:rsidRDefault="005741B0" w:rsidP="00CC6773">
            <w:pPr>
              <w:shd w:val="clear" w:color="auto" w:fill="FFFFFF" w:themeFill="background1"/>
              <w:ind w:right="-108"/>
              <w:jc w:val="both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806C7B">
              <w:rPr>
                <w:rFonts w:ascii="Arial" w:hAnsi="Arial" w:cs="Arial"/>
                <w:b/>
                <w:u w:val="single"/>
              </w:rPr>
              <w:t>A</w:t>
            </w:r>
            <w:r w:rsidR="00806C7B">
              <w:rPr>
                <w:rFonts w:ascii="Arial" w:hAnsi="Arial" w:cs="Arial"/>
                <w:b/>
                <w:u w:val="single"/>
              </w:rPr>
              <w:t>ttending</w:t>
            </w:r>
            <w:r w:rsidRPr="00E10875">
              <w:rPr>
                <w:rFonts w:ascii="Arial" w:hAnsi="Arial" w:cs="Arial"/>
                <w:b/>
              </w:rPr>
              <w:t>:</w:t>
            </w:r>
            <w:r w:rsidRPr="00A32BD1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87F3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87F37" w:rsidRPr="001E56B0">
              <w:rPr>
                <w:rFonts w:ascii="Arial" w:hAnsi="Arial" w:cs="Arial"/>
                <w:color w:val="000000" w:themeColor="text1"/>
                <w:sz w:val="18"/>
              </w:rPr>
              <w:t xml:space="preserve">Asian Resources, Inc; Bridge Network; California Human Development AJCC Galt; City of Sacramento; </w:t>
            </w:r>
            <w:r w:rsidR="00C614D4" w:rsidRPr="001E56B0">
              <w:rPr>
                <w:rFonts w:ascii="Arial" w:hAnsi="Arial" w:cs="Arial"/>
                <w:color w:val="000000" w:themeColor="text1"/>
                <w:sz w:val="18"/>
              </w:rPr>
              <w:t>Crocker Art Museum</w:t>
            </w:r>
            <w:r w:rsidR="00887F37" w:rsidRPr="001E56B0">
              <w:rPr>
                <w:rFonts w:ascii="Arial" w:hAnsi="Arial" w:cs="Arial"/>
                <w:color w:val="000000" w:themeColor="text1"/>
                <w:sz w:val="18"/>
              </w:rPr>
              <w:t xml:space="preserve">; Crossroads Diversified Services; Elk Grove Adult Continuing Education; Folsom Cordova Community Center; Goodwill </w:t>
            </w:r>
            <w:r w:rsidR="003E082D" w:rsidRPr="001E56B0">
              <w:rPr>
                <w:rFonts w:ascii="Arial" w:hAnsi="Arial" w:cs="Arial"/>
                <w:color w:val="000000" w:themeColor="text1"/>
                <w:sz w:val="18"/>
              </w:rPr>
              <w:t>Sacramento Valley and Northern Nevada;</w:t>
            </w:r>
            <w:r w:rsidR="00887F37" w:rsidRPr="001E56B0">
              <w:rPr>
                <w:rFonts w:ascii="Arial" w:hAnsi="Arial" w:cs="Arial"/>
                <w:color w:val="000000" w:themeColor="text1"/>
                <w:sz w:val="18"/>
              </w:rPr>
              <w:t xml:space="preserve"> Greater Sacramento Urban Leagu</w:t>
            </w:r>
            <w:r w:rsidR="004D02A2" w:rsidRPr="001E56B0">
              <w:rPr>
                <w:rFonts w:ascii="Arial" w:hAnsi="Arial" w:cs="Arial"/>
                <w:color w:val="000000" w:themeColor="text1"/>
                <w:sz w:val="18"/>
              </w:rPr>
              <w:t>e</w:t>
            </w:r>
            <w:r w:rsidR="00887F37" w:rsidRPr="001E56B0">
              <w:rPr>
                <w:rFonts w:ascii="Arial" w:hAnsi="Arial" w:cs="Arial"/>
                <w:color w:val="000000" w:themeColor="text1"/>
                <w:sz w:val="18"/>
              </w:rPr>
              <w:t xml:space="preserve">; </w:t>
            </w:r>
            <w:r w:rsidR="00B65AE9" w:rsidRPr="001E56B0">
              <w:rPr>
                <w:rFonts w:ascii="Arial" w:hAnsi="Arial" w:cs="Arial"/>
                <w:color w:val="000000" w:themeColor="text1"/>
                <w:sz w:val="18"/>
              </w:rPr>
              <w:t>Improve Your Tomorrow; International Rescue Committee; La Familia Counseling Center; Lao Family Community Developme</w:t>
            </w:r>
            <w:r w:rsidR="004D02A2" w:rsidRPr="001E56B0">
              <w:rPr>
                <w:rFonts w:ascii="Arial" w:hAnsi="Arial" w:cs="Arial"/>
                <w:color w:val="000000" w:themeColor="text1"/>
                <w:sz w:val="18"/>
              </w:rPr>
              <w:t>nt</w:t>
            </w:r>
            <w:r w:rsidR="00B65AE9" w:rsidRPr="001E56B0">
              <w:rPr>
                <w:rFonts w:ascii="Arial" w:hAnsi="Arial" w:cs="Arial"/>
                <w:color w:val="000000" w:themeColor="text1"/>
                <w:sz w:val="18"/>
              </w:rPr>
              <w:t xml:space="preserve">; North State Building Industry Foundation; Resources for Independent Living; ResCare Human Services; Sacramento Chinese Community Service Center; Sacramento City Unified School District; </w:t>
            </w:r>
            <w:r w:rsidR="003E082D" w:rsidRPr="001E56B0">
              <w:rPr>
                <w:rFonts w:ascii="Arial" w:hAnsi="Arial" w:cs="Arial"/>
                <w:color w:val="000000" w:themeColor="text1"/>
                <w:sz w:val="18"/>
              </w:rPr>
              <w:t>St. </w:t>
            </w:r>
            <w:r w:rsidR="00543C41" w:rsidRPr="001E56B0">
              <w:rPr>
                <w:rFonts w:ascii="Arial" w:hAnsi="Arial" w:cs="Arial"/>
                <w:color w:val="000000" w:themeColor="text1"/>
                <w:sz w:val="18"/>
              </w:rPr>
              <w:t>John’s Program for Change; Waking the Village</w:t>
            </w:r>
          </w:p>
          <w:p w14:paraId="79604F45" w14:textId="77777777" w:rsidR="00A41194" w:rsidRPr="00A32BD1" w:rsidRDefault="00A41194" w:rsidP="00CC6773">
            <w:pPr>
              <w:shd w:val="clear" w:color="auto" w:fill="FFFFFF" w:themeFill="background1"/>
              <w:ind w:right="-108"/>
              <w:rPr>
                <w:rFonts w:ascii="Arial" w:hAnsi="Arial" w:cs="Arial"/>
                <w:color w:val="000000" w:themeColor="text1"/>
                <w:sz w:val="12"/>
              </w:rPr>
            </w:pPr>
          </w:p>
          <w:p w14:paraId="7ECE0DF0" w14:textId="10583862" w:rsidR="000C3590" w:rsidRPr="00A41194" w:rsidRDefault="000C3590" w:rsidP="00CC6773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u w:val="single"/>
              </w:rPr>
            </w:pPr>
            <w:r w:rsidRPr="00A41194">
              <w:rPr>
                <w:rFonts w:ascii="Arial" w:hAnsi="Arial" w:cs="Arial"/>
                <w:b/>
                <w:u w:val="single"/>
              </w:rPr>
              <w:t>SETA</w:t>
            </w:r>
            <w:r w:rsidR="003A73E2">
              <w:rPr>
                <w:rFonts w:ascii="Arial" w:hAnsi="Arial" w:cs="Arial"/>
                <w:b/>
                <w:u w:val="single"/>
              </w:rPr>
              <w:t xml:space="preserve"> Staff</w:t>
            </w:r>
          </w:p>
          <w:p w14:paraId="41F9A467" w14:textId="77777777" w:rsidR="00121249" w:rsidRPr="00D512FB" w:rsidRDefault="000C3590" w:rsidP="00CC6773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</w:rPr>
            </w:pPr>
            <w:r w:rsidRPr="00D512FB">
              <w:rPr>
                <w:rFonts w:ascii="Arial" w:hAnsi="Arial" w:cs="Arial"/>
                <w:sz w:val="18"/>
              </w:rPr>
              <w:t>Roy Kim</w:t>
            </w:r>
            <w:r w:rsidR="00E846E5" w:rsidRPr="00D512FB">
              <w:rPr>
                <w:rFonts w:ascii="Arial" w:hAnsi="Arial" w:cs="Arial"/>
                <w:sz w:val="18"/>
              </w:rPr>
              <w:t>/Deputy Director;</w:t>
            </w:r>
            <w:r w:rsidR="004B4852" w:rsidRPr="00D512FB">
              <w:rPr>
                <w:rFonts w:ascii="Arial" w:hAnsi="Arial" w:cs="Arial"/>
                <w:sz w:val="18"/>
              </w:rPr>
              <w:t xml:space="preserve"> </w:t>
            </w:r>
            <w:r w:rsidRPr="00D512FB">
              <w:rPr>
                <w:rFonts w:ascii="Arial" w:hAnsi="Arial" w:cs="Arial"/>
                <w:sz w:val="18"/>
              </w:rPr>
              <w:t>Terri Carpenter</w:t>
            </w:r>
            <w:r w:rsidR="00E846E5" w:rsidRPr="00D512FB">
              <w:rPr>
                <w:rFonts w:ascii="Arial" w:hAnsi="Arial" w:cs="Arial"/>
                <w:sz w:val="18"/>
              </w:rPr>
              <w:t>/Youth Manager;</w:t>
            </w:r>
            <w:r w:rsidR="004B4852" w:rsidRPr="00D512FB">
              <w:rPr>
                <w:rFonts w:ascii="Arial" w:hAnsi="Arial" w:cs="Arial"/>
                <w:sz w:val="18"/>
              </w:rPr>
              <w:t xml:space="preserve"> </w:t>
            </w:r>
            <w:r w:rsidRPr="00D512FB">
              <w:rPr>
                <w:rFonts w:ascii="Arial" w:hAnsi="Arial" w:cs="Arial"/>
                <w:sz w:val="18"/>
              </w:rPr>
              <w:t>Becky Hansen</w:t>
            </w:r>
            <w:r w:rsidR="00E846E5" w:rsidRPr="00D512FB">
              <w:rPr>
                <w:rFonts w:ascii="Arial" w:hAnsi="Arial" w:cs="Arial"/>
                <w:sz w:val="18"/>
              </w:rPr>
              <w:t>/Youth Supervisor;</w:t>
            </w:r>
            <w:r w:rsidR="004B4852" w:rsidRPr="00D512FB">
              <w:rPr>
                <w:rFonts w:ascii="Arial" w:hAnsi="Arial" w:cs="Arial"/>
                <w:sz w:val="18"/>
              </w:rPr>
              <w:t xml:space="preserve"> </w:t>
            </w:r>
            <w:r w:rsidR="00121249" w:rsidRPr="00D512FB">
              <w:rPr>
                <w:rFonts w:ascii="Arial" w:hAnsi="Arial" w:cs="Arial"/>
                <w:sz w:val="18"/>
              </w:rPr>
              <w:t>Marianne Sphar</w:t>
            </w:r>
            <w:r w:rsidR="00E846E5" w:rsidRPr="00D512FB">
              <w:rPr>
                <w:rFonts w:ascii="Arial" w:hAnsi="Arial" w:cs="Arial"/>
                <w:sz w:val="18"/>
              </w:rPr>
              <w:t>/Insurance;</w:t>
            </w:r>
            <w:r w:rsidR="004B4852" w:rsidRPr="00D512FB">
              <w:rPr>
                <w:rFonts w:ascii="Arial" w:hAnsi="Arial" w:cs="Arial"/>
                <w:sz w:val="18"/>
              </w:rPr>
              <w:t xml:space="preserve"> </w:t>
            </w:r>
            <w:r w:rsidR="00E92A97" w:rsidRPr="00D512FB">
              <w:rPr>
                <w:rFonts w:ascii="Arial" w:hAnsi="Arial" w:cs="Arial"/>
                <w:sz w:val="18"/>
              </w:rPr>
              <w:t>Heather </w:t>
            </w:r>
            <w:r w:rsidR="00121249" w:rsidRPr="00D512FB">
              <w:rPr>
                <w:rFonts w:ascii="Arial" w:hAnsi="Arial" w:cs="Arial"/>
                <w:sz w:val="18"/>
              </w:rPr>
              <w:t>Luke</w:t>
            </w:r>
            <w:r w:rsidR="00E846E5" w:rsidRPr="00D512FB">
              <w:rPr>
                <w:rFonts w:ascii="Arial" w:hAnsi="Arial" w:cs="Arial"/>
                <w:sz w:val="18"/>
              </w:rPr>
              <w:t xml:space="preserve">/Contracts; </w:t>
            </w:r>
            <w:r w:rsidR="00E92A97" w:rsidRPr="00D512FB">
              <w:rPr>
                <w:rFonts w:ascii="Arial" w:hAnsi="Arial" w:cs="Arial"/>
                <w:sz w:val="18"/>
              </w:rPr>
              <w:t>Corey </w:t>
            </w:r>
            <w:r w:rsidR="00121249" w:rsidRPr="00D512FB">
              <w:rPr>
                <w:rFonts w:ascii="Arial" w:hAnsi="Arial" w:cs="Arial"/>
                <w:sz w:val="18"/>
              </w:rPr>
              <w:t>Lagbao</w:t>
            </w:r>
            <w:r w:rsidR="00E846E5" w:rsidRPr="00D512FB">
              <w:rPr>
                <w:rFonts w:ascii="Arial" w:hAnsi="Arial" w:cs="Arial"/>
                <w:sz w:val="18"/>
              </w:rPr>
              <w:t xml:space="preserve">/Prequalification; </w:t>
            </w:r>
            <w:r w:rsidR="004B4852" w:rsidRPr="00D512FB">
              <w:rPr>
                <w:rFonts w:ascii="Arial" w:hAnsi="Arial" w:cs="Arial"/>
                <w:sz w:val="18"/>
              </w:rPr>
              <w:t>Mary Bonanno</w:t>
            </w:r>
            <w:r w:rsidR="00E846E5" w:rsidRPr="00D512FB">
              <w:rPr>
                <w:rFonts w:ascii="Arial" w:hAnsi="Arial" w:cs="Arial"/>
                <w:sz w:val="18"/>
              </w:rPr>
              <w:t>/Fiscal</w:t>
            </w:r>
          </w:p>
          <w:p w14:paraId="2124D2C5" w14:textId="77777777" w:rsidR="00AE7AC0" w:rsidRPr="00A41194" w:rsidRDefault="00AE7AC0" w:rsidP="001934A1">
            <w:pPr>
              <w:shd w:val="clear" w:color="auto" w:fill="FFFFFF" w:themeFill="background1"/>
              <w:tabs>
                <w:tab w:val="left" w:pos="703"/>
              </w:tabs>
              <w:ind w:right="432"/>
              <w:rPr>
                <w:rFonts w:ascii="Arial" w:hAnsi="Arial" w:cs="Arial"/>
                <w:sz w:val="28"/>
              </w:rPr>
            </w:pPr>
          </w:p>
          <w:p w14:paraId="1CB690C2" w14:textId="77CAA97B" w:rsidR="00D46D59" w:rsidRDefault="00267929" w:rsidP="00CC6773">
            <w:pPr>
              <w:shd w:val="clear" w:color="auto" w:fill="FFFFFF" w:themeFill="background1"/>
              <w:ind w:right="-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96344">
              <w:rPr>
                <w:rFonts w:ascii="Arial" w:hAnsi="Arial" w:cs="Arial"/>
              </w:rPr>
              <w:t xml:space="preserve">erri Carpenter welcomed those attending and </w:t>
            </w:r>
            <w:r w:rsidR="00A679EE">
              <w:rPr>
                <w:rFonts w:ascii="Arial" w:hAnsi="Arial" w:cs="Arial"/>
              </w:rPr>
              <w:t>introductions were made</w:t>
            </w:r>
            <w:r w:rsidR="009349A0">
              <w:rPr>
                <w:rFonts w:ascii="Arial" w:hAnsi="Arial" w:cs="Arial"/>
              </w:rPr>
              <w:t xml:space="preserve">. </w:t>
            </w:r>
            <w:r w:rsidR="007F45E1">
              <w:rPr>
                <w:rFonts w:ascii="Arial" w:hAnsi="Arial" w:cs="Arial"/>
              </w:rPr>
              <w:t>Ms.</w:t>
            </w:r>
            <w:r w:rsidR="00D46D59">
              <w:rPr>
                <w:rFonts w:ascii="Arial" w:hAnsi="Arial" w:cs="Arial"/>
              </w:rPr>
              <w:t> </w:t>
            </w:r>
            <w:r w:rsidR="00A679EE">
              <w:rPr>
                <w:rFonts w:ascii="Arial" w:hAnsi="Arial" w:cs="Arial"/>
              </w:rPr>
              <w:t>Carpenter</w:t>
            </w:r>
            <w:r w:rsidR="00396344">
              <w:rPr>
                <w:rFonts w:ascii="Arial" w:hAnsi="Arial" w:cs="Arial"/>
              </w:rPr>
              <w:t xml:space="preserve"> </w:t>
            </w:r>
            <w:r w:rsidR="00D46D59">
              <w:rPr>
                <w:rFonts w:ascii="Arial" w:hAnsi="Arial" w:cs="Arial"/>
              </w:rPr>
              <w:t>distributed</w:t>
            </w:r>
            <w:r w:rsidR="00396344">
              <w:rPr>
                <w:rFonts w:ascii="Arial" w:hAnsi="Arial" w:cs="Arial"/>
              </w:rPr>
              <w:t xml:space="preserve"> </w:t>
            </w:r>
            <w:r w:rsidR="003A73E2">
              <w:rPr>
                <w:rFonts w:ascii="Arial" w:hAnsi="Arial" w:cs="Arial"/>
              </w:rPr>
              <w:t>a</w:t>
            </w:r>
            <w:r w:rsidR="00E32658">
              <w:rPr>
                <w:rFonts w:ascii="Arial" w:hAnsi="Arial" w:cs="Arial"/>
              </w:rPr>
              <w:t> </w:t>
            </w:r>
            <w:r w:rsidR="00C14C94">
              <w:rPr>
                <w:rFonts w:ascii="Arial" w:hAnsi="Arial" w:cs="Arial"/>
              </w:rPr>
              <w:t>handout to the group</w:t>
            </w:r>
            <w:r w:rsidR="006C475D">
              <w:rPr>
                <w:rFonts w:ascii="Arial" w:hAnsi="Arial" w:cs="Arial"/>
              </w:rPr>
              <w:t xml:space="preserve"> (</w:t>
            </w:r>
            <w:r w:rsidR="00C14C94" w:rsidRPr="00D46D59">
              <w:rPr>
                <w:rFonts w:ascii="Arial" w:hAnsi="Arial" w:cs="Arial"/>
                <w:i/>
                <w:sz w:val="20"/>
              </w:rPr>
              <w:t>WIOA Fact Sheet</w:t>
            </w:r>
            <w:r w:rsidR="006C475D">
              <w:rPr>
                <w:rFonts w:ascii="Arial" w:hAnsi="Arial" w:cs="Arial"/>
              </w:rPr>
              <w:t>)</w:t>
            </w:r>
            <w:r w:rsidR="00C14C94" w:rsidRPr="00C14C94">
              <w:rPr>
                <w:rFonts w:ascii="Arial" w:hAnsi="Arial" w:cs="Arial"/>
              </w:rPr>
              <w:t>.</w:t>
            </w:r>
          </w:p>
          <w:p w14:paraId="22DC1701" w14:textId="77777777" w:rsidR="00144E06" w:rsidRPr="00D512FB" w:rsidRDefault="00144E06" w:rsidP="00CC6773">
            <w:pPr>
              <w:shd w:val="clear" w:color="auto" w:fill="FFFFFF" w:themeFill="background1"/>
              <w:ind w:right="-18"/>
              <w:jc w:val="both"/>
              <w:rPr>
                <w:rFonts w:ascii="Arial" w:hAnsi="Arial" w:cs="Arial"/>
                <w:sz w:val="20"/>
              </w:rPr>
            </w:pPr>
          </w:p>
          <w:p w14:paraId="706B4180" w14:textId="04B82E60" w:rsidR="00144E06" w:rsidRDefault="00112CF7" w:rsidP="00CC6773">
            <w:pPr>
              <w:shd w:val="clear" w:color="auto" w:fill="FFFFFF" w:themeFill="background1"/>
              <w:ind w:right="-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PowerPoint  of the </w:t>
            </w:r>
            <w:r w:rsidR="00D46D59">
              <w:rPr>
                <w:rFonts w:ascii="Arial" w:hAnsi="Arial" w:cs="Arial"/>
              </w:rPr>
              <w:t>WIOA</w:t>
            </w:r>
            <w:r w:rsidR="00144E06">
              <w:rPr>
                <w:rFonts w:ascii="Arial" w:hAnsi="Arial" w:cs="Arial"/>
              </w:rPr>
              <w:t xml:space="preserve"> Youth Services</w:t>
            </w:r>
            <w:r>
              <w:rPr>
                <w:rFonts w:ascii="Arial" w:hAnsi="Arial" w:cs="Arial"/>
              </w:rPr>
              <w:t xml:space="preserve"> Request for Proposals </w:t>
            </w:r>
            <w:r w:rsidR="00144E06">
              <w:rPr>
                <w:rFonts w:ascii="Arial" w:hAnsi="Arial" w:cs="Arial"/>
              </w:rPr>
              <w:t xml:space="preserve">(RFP) </w:t>
            </w:r>
            <w:r>
              <w:rPr>
                <w:rFonts w:ascii="Arial" w:hAnsi="Arial" w:cs="Arial"/>
              </w:rPr>
              <w:t>was projected on two screens and printouts  were on</w:t>
            </w:r>
            <w:r>
              <w:rPr>
                <w:rFonts w:ascii="Arial" w:hAnsi="Arial" w:cs="Arial"/>
              </w:rPr>
              <w:noBreakHyphen/>
              <w:t>hand.</w:t>
            </w:r>
            <w:r w:rsidR="00D46D59">
              <w:rPr>
                <w:rFonts w:ascii="Arial" w:hAnsi="Arial" w:cs="Arial"/>
              </w:rPr>
              <w:t xml:space="preserve">  </w:t>
            </w:r>
            <w:r w:rsidR="00144E06">
              <w:rPr>
                <w:rFonts w:ascii="Arial" w:hAnsi="Arial" w:cs="Arial"/>
              </w:rPr>
              <w:t xml:space="preserve">Ms. Carpenter  encouraged all </w:t>
            </w:r>
            <w:r w:rsidR="004D0BE3">
              <w:rPr>
                <w:rFonts w:ascii="Arial" w:hAnsi="Arial" w:cs="Arial"/>
              </w:rPr>
              <w:t>attendees</w:t>
            </w:r>
            <w:r w:rsidR="00144E06">
              <w:rPr>
                <w:rFonts w:ascii="Arial" w:hAnsi="Arial" w:cs="Arial"/>
              </w:rPr>
              <w:t xml:space="preserve"> to ask questions </w:t>
            </w:r>
            <w:r w:rsidR="003A73E2">
              <w:rPr>
                <w:rFonts w:ascii="Arial" w:hAnsi="Arial" w:cs="Arial"/>
              </w:rPr>
              <w:t>as each section of the RFP was presented</w:t>
            </w:r>
            <w:r w:rsidR="00144E06">
              <w:rPr>
                <w:rFonts w:ascii="Arial" w:hAnsi="Arial" w:cs="Arial"/>
              </w:rPr>
              <w:t xml:space="preserve">.  </w:t>
            </w:r>
          </w:p>
          <w:p w14:paraId="5DBCB7EB" w14:textId="77777777" w:rsidR="00AE7AC0" w:rsidRPr="00D512FB" w:rsidRDefault="00AE7AC0" w:rsidP="00CC6773">
            <w:pPr>
              <w:shd w:val="clear" w:color="auto" w:fill="FFFFFF" w:themeFill="background1"/>
              <w:ind w:right="-18"/>
              <w:rPr>
                <w:rFonts w:ascii="Arial" w:hAnsi="Arial" w:cs="Arial"/>
                <w:sz w:val="28"/>
              </w:rPr>
            </w:pPr>
          </w:p>
          <w:p w14:paraId="2BE8AC48" w14:textId="25A24852" w:rsidR="00100608" w:rsidRDefault="007F45E1" w:rsidP="00CC6773">
            <w:pPr>
              <w:shd w:val="clear" w:color="auto" w:fill="FFFFFF" w:themeFill="background1"/>
              <w:ind w:right="-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3A73E2">
              <w:rPr>
                <w:rFonts w:ascii="Arial" w:hAnsi="Arial" w:cs="Arial"/>
              </w:rPr>
              <w:t>following specific questions were asked</w:t>
            </w:r>
            <w:r w:rsidR="00FE47CC">
              <w:rPr>
                <w:rFonts w:ascii="Arial" w:hAnsi="Arial" w:cs="Arial"/>
              </w:rPr>
              <w:t>:</w:t>
            </w:r>
            <w:r w:rsidR="00267929">
              <w:rPr>
                <w:rFonts w:ascii="Arial" w:hAnsi="Arial" w:cs="Arial"/>
              </w:rPr>
              <w:t xml:space="preserve">  </w:t>
            </w:r>
            <w:r w:rsidR="00EA238E">
              <w:rPr>
                <w:rFonts w:ascii="Arial" w:hAnsi="Arial" w:cs="Arial"/>
              </w:rPr>
              <w:t xml:space="preserve"> </w:t>
            </w:r>
          </w:p>
          <w:p w14:paraId="18260DF1" w14:textId="77777777" w:rsidR="000F058F" w:rsidRDefault="000F058F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b/>
              </w:rPr>
            </w:pPr>
          </w:p>
          <w:p w14:paraId="06F18A7B" w14:textId="77777777" w:rsidR="00774658" w:rsidRPr="00041B32" w:rsidRDefault="00BD71DF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843BF5" w:rsidRPr="00226825">
              <w:rPr>
                <w:rFonts w:ascii="Arial" w:hAnsi="Arial" w:cs="Arial"/>
                <w:b/>
              </w:rPr>
              <w:t>1</w:t>
            </w:r>
            <w:r w:rsidR="00DC1538">
              <w:rPr>
                <w:rFonts w:ascii="Arial" w:hAnsi="Arial" w:cs="Arial"/>
              </w:rPr>
              <w:t xml:space="preserve">  </w:t>
            </w:r>
            <w:r w:rsidR="00F5720E">
              <w:rPr>
                <w:rFonts w:ascii="Arial" w:hAnsi="Arial" w:cs="Arial"/>
              </w:rPr>
              <w:t>How will the proposers know when their submission</w:t>
            </w:r>
            <w:r w:rsidR="003E73F8">
              <w:rPr>
                <w:rFonts w:ascii="Arial" w:hAnsi="Arial" w:cs="Arial"/>
              </w:rPr>
              <w:t>s are</w:t>
            </w:r>
            <w:r w:rsidR="00F5720E">
              <w:rPr>
                <w:rFonts w:ascii="Arial" w:hAnsi="Arial" w:cs="Arial"/>
              </w:rPr>
              <w:t xml:space="preserve"> received</w:t>
            </w:r>
            <w:r w:rsidR="003E73F8">
              <w:rPr>
                <w:rFonts w:ascii="Arial" w:hAnsi="Arial" w:cs="Arial"/>
              </w:rPr>
              <w:t xml:space="preserve"> at SETA?</w:t>
            </w:r>
          </w:p>
          <w:p w14:paraId="7B5A3F70" w14:textId="77777777" w:rsidR="00774658" w:rsidRPr="00C62BE2" w:rsidRDefault="00774658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504092B7" w14:textId="1FD93974" w:rsidR="00B67CA6" w:rsidRPr="003C5B89" w:rsidRDefault="00BD71DF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43BF5">
              <w:rPr>
                <w:rFonts w:ascii="Arial" w:hAnsi="Arial" w:cs="Arial"/>
              </w:rPr>
              <w:t>1</w:t>
            </w:r>
            <w:r w:rsidR="00DC1538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="003A73E2">
              <w:rPr>
                <w:rFonts w:ascii="Arial" w:hAnsi="Arial" w:cs="Arial"/>
              </w:rPr>
              <w:t>A</w:t>
            </w:r>
            <w:r w:rsidR="00F5720E">
              <w:rPr>
                <w:rFonts w:ascii="Arial" w:hAnsi="Arial" w:cs="Arial"/>
              </w:rPr>
              <w:t xml:space="preserve"> receipt e-mail will be returned to the proposer</w:t>
            </w:r>
            <w:r w:rsidR="00B67CA6" w:rsidRPr="003C5B89">
              <w:rPr>
                <w:rFonts w:ascii="Arial" w:hAnsi="Arial" w:cs="Arial"/>
              </w:rPr>
              <w:t>.</w:t>
            </w:r>
            <w:r w:rsidR="006F4440">
              <w:rPr>
                <w:rFonts w:ascii="Arial" w:hAnsi="Arial" w:cs="Arial"/>
              </w:rPr>
              <w:t> </w:t>
            </w:r>
            <w:r w:rsidR="00F5720E">
              <w:rPr>
                <w:rFonts w:ascii="Arial" w:hAnsi="Arial" w:cs="Arial"/>
              </w:rPr>
              <w:t>However, please keep the submission dea</w:t>
            </w:r>
            <w:r w:rsidR="006F4440">
              <w:rPr>
                <w:rFonts w:ascii="Arial" w:hAnsi="Arial" w:cs="Arial"/>
              </w:rPr>
              <w:t>dlines in mind, and send in the </w:t>
            </w:r>
            <w:r w:rsidR="00F5720E">
              <w:rPr>
                <w:rFonts w:ascii="Arial" w:hAnsi="Arial" w:cs="Arial"/>
              </w:rPr>
              <w:t xml:space="preserve">prequalification requirements </w:t>
            </w:r>
            <w:r w:rsidR="008179BE">
              <w:rPr>
                <w:rFonts w:ascii="Arial" w:hAnsi="Arial" w:cs="Arial"/>
              </w:rPr>
              <w:t>before</w:t>
            </w:r>
            <w:r w:rsidR="00F5720E">
              <w:rPr>
                <w:rFonts w:ascii="Arial" w:hAnsi="Arial" w:cs="Arial"/>
              </w:rPr>
              <w:t xml:space="preserve"> 4:00 p.m. on Thursday, 02/28/19; and proposal</w:t>
            </w:r>
            <w:r w:rsidR="006F4440">
              <w:rPr>
                <w:rFonts w:ascii="Arial" w:hAnsi="Arial" w:cs="Arial"/>
              </w:rPr>
              <w:t>s </w:t>
            </w:r>
            <w:r w:rsidR="008179BE">
              <w:rPr>
                <w:rFonts w:ascii="Arial" w:hAnsi="Arial" w:cs="Arial"/>
              </w:rPr>
              <w:t>before</w:t>
            </w:r>
            <w:r w:rsidR="00F5720E">
              <w:rPr>
                <w:rFonts w:ascii="Arial" w:hAnsi="Arial" w:cs="Arial"/>
              </w:rPr>
              <w:t xml:space="preserve"> 4:00 p.m. on Thursday, 03/21/19.</w:t>
            </w:r>
          </w:p>
          <w:p w14:paraId="58494707" w14:textId="77777777" w:rsidR="00B67CA6" w:rsidRPr="00A71D96" w:rsidRDefault="00B67CA6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0E36BB80" w14:textId="77777777" w:rsidR="00F5720E" w:rsidRPr="00041B32" w:rsidRDefault="00F5720E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843BF5" w:rsidRPr="00226825">
              <w:rPr>
                <w:rFonts w:ascii="Arial" w:hAnsi="Arial" w:cs="Arial"/>
                <w:b/>
              </w:rPr>
              <w:t>2</w:t>
            </w:r>
            <w:r w:rsidR="00DC153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Will the original submission time be kep</w:t>
            </w:r>
            <w:r w:rsidR="003E73F8">
              <w:rPr>
                <w:rFonts w:ascii="Arial" w:hAnsi="Arial" w:cs="Arial"/>
              </w:rPr>
              <w:t>t if the proposal needs editing?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64C3DCD0" w14:textId="77777777" w:rsidR="00F5720E" w:rsidRPr="00C62BE2" w:rsidRDefault="00F5720E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48FB040F" w14:textId="31171C04" w:rsidR="00F5720E" w:rsidRPr="003C5B89" w:rsidRDefault="00F5720E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43BF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  </w:t>
            </w:r>
            <w:r w:rsidR="00E32658">
              <w:rPr>
                <w:rFonts w:ascii="Arial" w:hAnsi="Arial" w:cs="Arial"/>
              </w:rPr>
              <w:t>In the event that</w:t>
            </w:r>
            <w:r>
              <w:rPr>
                <w:rFonts w:ascii="Arial" w:hAnsi="Arial" w:cs="Arial"/>
              </w:rPr>
              <w:t xml:space="preserve"> the </w:t>
            </w:r>
            <w:r w:rsidR="000F058F">
              <w:rPr>
                <w:rFonts w:ascii="Arial" w:hAnsi="Arial" w:cs="Arial"/>
              </w:rPr>
              <w:t>prequalification requirements </w:t>
            </w:r>
            <w:r w:rsidR="007F1A9A">
              <w:rPr>
                <w:rFonts w:ascii="Arial" w:hAnsi="Arial" w:cs="Arial"/>
              </w:rPr>
              <w:t xml:space="preserve">and/or </w:t>
            </w:r>
            <w:r>
              <w:rPr>
                <w:rFonts w:ascii="Arial" w:hAnsi="Arial" w:cs="Arial"/>
              </w:rPr>
              <w:t xml:space="preserve">proposal </w:t>
            </w:r>
            <w:r w:rsidR="00E32658">
              <w:rPr>
                <w:rFonts w:ascii="Arial" w:hAnsi="Arial" w:cs="Arial"/>
              </w:rPr>
              <w:t>require corrections or additions, they</w:t>
            </w:r>
            <w:r w:rsidR="00866E5B">
              <w:rPr>
                <w:rFonts w:ascii="Arial" w:hAnsi="Arial" w:cs="Arial"/>
              </w:rPr>
              <w:t xml:space="preserve"> can be</w:t>
            </w:r>
            <w:r>
              <w:rPr>
                <w:rFonts w:ascii="Arial" w:hAnsi="Arial" w:cs="Arial"/>
              </w:rPr>
              <w:t xml:space="preserve"> withdrawn, edited, and res</w:t>
            </w:r>
            <w:r w:rsidR="000F058F">
              <w:rPr>
                <w:rFonts w:ascii="Arial" w:hAnsi="Arial" w:cs="Arial"/>
              </w:rPr>
              <w:t>ubmitted with </w:t>
            </w:r>
            <w:r w:rsidR="007B07F6">
              <w:rPr>
                <w:rFonts w:ascii="Arial" w:hAnsi="Arial" w:cs="Arial"/>
              </w:rPr>
              <w:t xml:space="preserve">a new timestamp. </w:t>
            </w:r>
            <w:r>
              <w:rPr>
                <w:rFonts w:ascii="Arial" w:hAnsi="Arial" w:cs="Arial"/>
              </w:rPr>
              <w:t>Again, pleas</w:t>
            </w:r>
            <w:r w:rsidR="007F1A9A">
              <w:rPr>
                <w:rFonts w:ascii="Arial" w:hAnsi="Arial" w:cs="Arial"/>
              </w:rPr>
              <w:t>e file early with the</w:t>
            </w:r>
            <w:r>
              <w:rPr>
                <w:rFonts w:ascii="Arial" w:hAnsi="Arial" w:cs="Arial"/>
              </w:rPr>
              <w:t xml:space="preserve"> deadline</w:t>
            </w:r>
            <w:r w:rsidR="007F1A9A">
              <w:rPr>
                <w:rFonts w:ascii="Arial" w:hAnsi="Arial" w:cs="Arial"/>
              </w:rPr>
              <w:t>s</w:t>
            </w:r>
            <w:r w:rsidR="007B07F6">
              <w:rPr>
                <w:rFonts w:ascii="Arial" w:hAnsi="Arial" w:cs="Arial"/>
              </w:rPr>
              <w:t> </w:t>
            </w:r>
            <w:r w:rsidR="000F058F">
              <w:rPr>
                <w:rFonts w:ascii="Arial" w:hAnsi="Arial" w:cs="Arial"/>
              </w:rPr>
              <w:t>in </w:t>
            </w:r>
            <w:r>
              <w:rPr>
                <w:rFonts w:ascii="Arial" w:hAnsi="Arial" w:cs="Arial"/>
              </w:rPr>
              <w:t>mind</w:t>
            </w:r>
            <w:r w:rsidR="000F058F">
              <w:rPr>
                <w:rFonts w:ascii="Arial" w:hAnsi="Arial" w:cs="Arial"/>
              </w:rPr>
              <w:t> </w:t>
            </w:r>
            <w:r w:rsidR="007F1A9A">
              <w:rPr>
                <w:rFonts w:ascii="Arial" w:hAnsi="Arial" w:cs="Arial"/>
              </w:rPr>
              <w:t xml:space="preserve">(refer to </w:t>
            </w:r>
            <w:r w:rsidR="000F058F">
              <w:rPr>
                <w:rFonts w:ascii="Arial" w:hAnsi="Arial" w:cs="Arial"/>
              </w:rPr>
              <w:t>the Planning </w:t>
            </w:r>
            <w:r w:rsidR="007F1A9A">
              <w:rPr>
                <w:rFonts w:ascii="Arial" w:hAnsi="Arial" w:cs="Arial"/>
              </w:rPr>
              <w:t>Calendar)</w:t>
            </w:r>
            <w:r>
              <w:rPr>
                <w:rFonts w:ascii="Arial" w:hAnsi="Arial" w:cs="Arial"/>
              </w:rPr>
              <w:t>.</w:t>
            </w:r>
          </w:p>
          <w:p w14:paraId="60D78DE3" w14:textId="77777777" w:rsidR="00F5720E" w:rsidRPr="00A71D96" w:rsidRDefault="00F5720E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486B2085" w14:textId="77777777" w:rsidR="007D62CB" w:rsidRPr="00041B32" w:rsidRDefault="007D62CB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843BF5" w:rsidRPr="0022682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 xml:space="preserve">  Will there be limitations that proposers must follow at the Presentation to the Youth Committee meeting on Friday, April 12, 2019?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50CB6D1A" w14:textId="77777777" w:rsidR="007D62CB" w:rsidRPr="00C62BE2" w:rsidRDefault="007D62CB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27254FAB" w14:textId="602D7B77" w:rsidR="007D62CB" w:rsidRDefault="007D62CB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43BF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Each</w:t>
            </w:r>
            <w:r w:rsidR="00846225">
              <w:rPr>
                <w:rFonts w:ascii="Arial" w:hAnsi="Arial" w:cs="Arial"/>
              </w:rPr>
              <w:t xml:space="preserve"> proposer will have </w:t>
            </w:r>
            <w:r w:rsidR="003A73E2">
              <w:rPr>
                <w:rFonts w:ascii="Arial" w:hAnsi="Arial" w:cs="Arial"/>
              </w:rPr>
              <w:t xml:space="preserve">up to </w:t>
            </w:r>
            <w:r w:rsidR="00846225">
              <w:rPr>
                <w:rFonts w:ascii="Arial" w:hAnsi="Arial" w:cs="Arial"/>
              </w:rPr>
              <w:t xml:space="preserve">five (5) minutes to make a </w:t>
            </w:r>
            <w:r w:rsidR="007B07F6">
              <w:rPr>
                <w:rFonts w:ascii="Arial" w:hAnsi="Arial" w:cs="Arial"/>
              </w:rPr>
              <w:t xml:space="preserve">presentation of their program. </w:t>
            </w:r>
            <w:r w:rsidR="00846225">
              <w:rPr>
                <w:rFonts w:ascii="Arial" w:hAnsi="Arial" w:cs="Arial"/>
              </w:rPr>
              <w:t>The presentation can be oral, handouts/lists</w:t>
            </w:r>
            <w:r w:rsidR="00D028C3">
              <w:rPr>
                <w:rFonts w:ascii="Arial" w:hAnsi="Arial" w:cs="Arial"/>
              </w:rPr>
              <w:t>,</w:t>
            </w:r>
            <w:r w:rsidR="00846225">
              <w:rPr>
                <w:rFonts w:ascii="Arial" w:hAnsi="Arial" w:cs="Arial"/>
              </w:rPr>
              <w:t xml:space="preserve"> or PowerPoint; and can be an overview or highlights of imp</w:t>
            </w:r>
            <w:r w:rsidR="006F4440">
              <w:rPr>
                <w:rFonts w:ascii="Arial" w:hAnsi="Arial" w:cs="Arial"/>
              </w:rPr>
              <w:t>ortant aspects of the program’s </w:t>
            </w:r>
            <w:r w:rsidR="00846225">
              <w:rPr>
                <w:rFonts w:ascii="Arial" w:hAnsi="Arial" w:cs="Arial"/>
              </w:rPr>
              <w:t>design during the allotted five (5) minutes.</w:t>
            </w:r>
          </w:p>
          <w:p w14:paraId="5D6E2910" w14:textId="77777777" w:rsidR="00D028C3" w:rsidRPr="00A71D96" w:rsidRDefault="00D028C3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662A31C3" w14:textId="54576F31" w:rsidR="00154C65" w:rsidRPr="00041B32" w:rsidRDefault="00154C6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843BF5" w:rsidRPr="0022682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</w:rPr>
              <w:t xml:space="preserve">  Will all proposers </w:t>
            </w:r>
            <w:r w:rsidR="00525137">
              <w:rPr>
                <w:rFonts w:ascii="Arial" w:hAnsi="Arial" w:cs="Arial"/>
              </w:rPr>
              <w:t>in attendance</w:t>
            </w:r>
            <w:r w:rsidR="006D3C63">
              <w:rPr>
                <w:rFonts w:ascii="Arial" w:hAnsi="Arial" w:cs="Arial"/>
              </w:rPr>
              <w:t xml:space="preserve"> on April 12 make a presentation</w:t>
            </w:r>
            <w:r>
              <w:rPr>
                <w:rFonts w:ascii="Arial" w:hAnsi="Arial" w:cs="Arial"/>
              </w:rPr>
              <w:t xml:space="preserve">; </w:t>
            </w:r>
            <w:r w:rsidR="00E66367">
              <w:rPr>
                <w:rFonts w:ascii="Arial" w:hAnsi="Arial" w:cs="Arial"/>
              </w:rPr>
              <w:t xml:space="preserve">if not, how will </w:t>
            </w:r>
            <w:r w:rsidR="006D3C63">
              <w:rPr>
                <w:rFonts w:ascii="Arial" w:hAnsi="Arial" w:cs="Arial"/>
              </w:rPr>
              <w:t>proposers</w:t>
            </w:r>
            <w:r w:rsidR="00E66367">
              <w:rPr>
                <w:rFonts w:ascii="Arial" w:hAnsi="Arial" w:cs="Arial"/>
              </w:rPr>
              <w:t xml:space="preserve"> be chosen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7BC3F5B4" w14:textId="77777777" w:rsidR="00154C65" w:rsidRPr="00C62BE2" w:rsidRDefault="00154C6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27B601DD" w14:textId="48B94A8B" w:rsidR="00154C65" w:rsidRDefault="00154C6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43BF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 xml:space="preserve"> proposer</w:t>
            </w:r>
            <w:r w:rsidR="002042E5">
              <w:rPr>
                <w:rFonts w:ascii="Arial" w:hAnsi="Arial" w:cs="Arial"/>
              </w:rPr>
              <w:t>s</w:t>
            </w:r>
            <w:r w:rsidR="00870F8F">
              <w:rPr>
                <w:rFonts w:ascii="Arial" w:hAnsi="Arial" w:cs="Arial"/>
              </w:rPr>
              <w:t xml:space="preserve"> may</w:t>
            </w:r>
            <w:r w:rsidR="002042E5">
              <w:rPr>
                <w:rFonts w:ascii="Arial" w:hAnsi="Arial" w:cs="Arial"/>
              </w:rPr>
              <w:t xml:space="preserve"> choose to</w:t>
            </w:r>
            <w:r>
              <w:rPr>
                <w:rFonts w:ascii="Arial" w:hAnsi="Arial" w:cs="Arial"/>
              </w:rPr>
              <w:t xml:space="preserve"> make</w:t>
            </w:r>
            <w:r w:rsidR="002042E5">
              <w:rPr>
                <w:rFonts w:ascii="Arial" w:hAnsi="Arial" w:cs="Arial"/>
              </w:rPr>
              <w:t xml:space="preserve"> a presentation to the Youth Committee</w:t>
            </w:r>
            <w:r w:rsidR="007B07F6">
              <w:rPr>
                <w:rFonts w:ascii="Arial" w:hAnsi="Arial" w:cs="Arial"/>
              </w:rPr>
              <w:t xml:space="preserve">. </w:t>
            </w:r>
            <w:r w:rsidR="002042E5">
              <w:rPr>
                <w:rFonts w:ascii="Arial" w:hAnsi="Arial" w:cs="Arial"/>
              </w:rPr>
              <w:t xml:space="preserve">An agenda and </w:t>
            </w:r>
            <w:r w:rsidR="006D3C63">
              <w:rPr>
                <w:rFonts w:ascii="Arial" w:hAnsi="Arial" w:cs="Arial"/>
              </w:rPr>
              <w:t>a timed schedule</w:t>
            </w:r>
            <w:r w:rsidR="006F4440">
              <w:rPr>
                <w:rFonts w:ascii="Arial" w:hAnsi="Arial" w:cs="Arial"/>
              </w:rPr>
              <w:t xml:space="preserve"> will be </w:t>
            </w:r>
            <w:r w:rsidR="002042E5">
              <w:rPr>
                <w:rFonts w:ascii="Arial" w:hAnsi="Arial" w:cs="Arial"/>
              </w:rPr>
              <w:t>composed and distributed.</w:t>
            </w:r>
          </w:p>
          <w:p w14:paraId="0C723E59" w14:textId="77777777" w:rsidR="00843BF5" w:rsidRPr="00A71D96" w:rsidRDefault="00843BF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15CEA59D" w14:textId="77777777" w:rsidR="00843BF5" w:rsidRPr="00041B32" w:rsidRDefault="00843BF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Q5</w:t>
            </w:r>
            <w:r>
              <w:rPr>
                <w:rFonts w:ascii="Arial" w:hAnsi="Arial" w:cs="Arial"/>
              </w:rPr>
              <w:t xml:space="preserve">  </w:t>
            </w:r>
            <w:r w:rsidR="00B42D93">
              <w:rPr>
                <w:rFonts w:ascii="Arial" w:hAnsi="Arial" w:cs="Arial"/>
              </w:rPr>
              <w:t>How many service providers are expected to be selec</w:t>
            </w:r>
            <w:r w:rsidR="00525137">
              <w:rPr>
                <w:rFonts w:ascii="Arial" w:hAnsi="Arial" w:cs="Arial"/>
              </w:rPr>
              <w:t>ted and funded under this Youth </w:t>
            </w:r>
            <w:r w:rsidR="00B42D93">
              <w:rPr>
                <w:rFonts w:ascii="Arial" w:hAnsi="Arial" w:cs="Arial"/>
              </w:rPr>
              <w:t>RFP?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33B4443D" w14:textId="77777777" w:rsidR="00843BF5" w:rsidRPr="00C62BE2" w:rsidRDefault="00843BF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25AAA796" w14:textId="5B735800" w:rsidR="00843BF5" w:rsidRDefault="00843BF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A5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E</w:t>
            </w:r>
            <w:r w:rsidR="00B42D93">
              <w:rPr>
                <w:rFonts w:ascii="Arial" w:hAnsi="Arial" w:cs="Arial"/>
              </w:rPr>
              <w:t>leven</w:t>
            </w:r>
            <w:r w:rsidR="00870F8F">
              <w:rPr>
                <w:rFonts w:ascii="Arial" w:hAnsi="Arial" w:cs="Arial"/>
              </w:rPr>
              <w:t xml:space="preserve"> (11)</w:t>
            </w:r>
            <w:r w:rsidR="00B42D93">
              <w:rPr>
                <w:rFonts w:ascii="Arial" w:hAnsi="Arial" w:cs="Arial"/>
              </w:rPr>
              <w:t xml:space="preserve"> service providers</w:t>
            </w:r>
            <w:r w:rsidR="00274218">
              <w:rPr>
                <w:rFonts w:ascii="Arial" w:hAnsi="Arial" w:cs="Arial"/>
              </w:rPr>
              <w:t xml:space="preserve"> </w:t>
            </w:r>
            <w:r w:rsidR="004D0BE3">
              <w:rPr>
                <w:rFonts w:ascii="Arial" w:hAnsi="Arial" w:cs="Arial"/>
              </w:rPr>
              <w:t>were funded during the last procurement in 2016.</w:t>
            </w:r>
          </w:p>
          <w:p w14:paraId="1EEBEDA7" w14:textId="77777777" w:rsidR="00843BF5" w:rsidRPr="00A71D96" w:rsidRDefault="00843BF5" w:rsidP="00C62BE2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5C08D012" w14:textId="77777777" w:rsidR="005E19CB" w:rsidRPr="00041B3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lastRenderedPageBreak/>
              <w:t>Q</w:t>
            </w:r>
            <w:r w:rsidR="00B42D9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B42D93">
              <w:rPr>
                <w:rFonts w:ascii="Arial" w:hAnsi="Arial" w:cs="Arial"/>
              </w:rPr>
              <w:t xml:space="preserve">Under recent Youth </w:t>
            </w:r>
            <w:r w:rsidR="00274218">
              <w:rPr>
                <w:rFonts w:ascii="Arial" w:hAnsi="Arial" w:cs="Arial"/>
              </w:rPr>
              <w:t>grants, what was</w:t>
            </w:r>
            <w:r w:rsidR="00B42D93">
              <w:rPr>
                <w:rFonts w:ascii="Arial" w:hAnsi="Arial" w:cs="Arial"/>
              </w:rPr>
              <w:t xml:space="preserve"> the ballpark average amount received by each service provider?</w:t>
            </w:r>
          </w:p>
          <w:p w14:paraId="5923296A" w14:textId="77777777" w:rsidR="005E19CB" w:rsidRPr="00C62BE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34F8B069" w14:textId="787B4BFD" w:rsidR="005E19CB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B42D9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F</w:t>
            </w:r>
            <w:r w:rsidR="00B42D93">
              <w:rPr>
                <w:rFonts w:ascii="Arial" w:hAnsi="Arial" w:cs="Arial"/>
              </w:rPr>
              <w:t>or IS you</w:t>
            </w:r>
            <w:r w:rsidR="00F42BE8">
              <w:rPr>
                <w:rFonts w:ascii="Arial" w:hAnsi="Arial" w:cs="Arial"/>
              </w:rPr>
              <w:t>th, approximately $184,340; and</w:t>
            </w:r>
            <w:r w:rsidR="00B42D93">
              <w:rPr>
                <w:rFonts w:ascii="Arial" w:hAnsi="Arial" w:cs="Arial"/>
              </w:rPr>
              <w:t xml:space="preserve"> for OS youth, approximately $190,600.</w:t>
            </w:r>
          </w:p>
          <w:p w14:paraId="43946B02" w14:textId="77777777" w:rsidR="002D1B29" w:rsidRPr="00A71D96" w:rsidRDefault="002D1B29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2FDA14C7" w14:textId="77777777" w:rsidR="005E19CB" w:rsidRPr="00041B3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983D91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="008833F2">
              <w:rPr>
                <w:rFonts w:ascii="Arial" w:hAnsi="Arial" w:cs="Arial"/>
              </w:rPr>
              <w:t>Must all proposers submit references as some providers don’t have a direct history with youth services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5C5BE318" w14:textId="77777777" w:rsidR="005E19CB" w:rsidRPr="00C62BE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4C23F087" w14:textId="5F7BDA39" w:rsidR="005E19CB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983D9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  </w:t>
            </w:r>
            <w:r w:rsidR="007079CB">
              <w:rPr>
                <w:rFonts w:ascii="Arial" w:hAnsi="Arial" w:cs="Arial"/>
              </w:rPr>
              <w:t>Proposers who are currently funded by SETA</w:t>
            </w:r>
            <w:r w:rsidR="008833F2">
              <w:rPr>
                <w:rFonts w:ascii="Arial" w:hAnsi="Arial" w:cs="Arial"/>
              </w:rPr>
              <w:t xml:space="preserve"> do </w:t>
            </w:r>
            <w:r w:rsidR="007B07F6">
              <w:rPr>
                <w:rFonts w:ascii="Arial" w:hAnsi="Arial" w:cs="Arial"/>
              </w:rPr>
              <w:t xml:space="preserve">not need to submit references. </w:t>
            </w:r>
            <w:r w:rsidR="008833F2">
              <w:rPr>
                <w:rFonts w:ascii="Arial" w:hAnsi="Arial" w:cs="Arial"/>
              </w:rPr>
              <w:t xml:space="preserve">Only proposers </w:t>
            </w:r>
            <w:r w:rsidR="007079CB">
              <w:rPr>
                <w:rFonts w:ascii="Arial" w:hAnsi="Arial" w:cs="Arial"/>
              </w:rPr>
              <w:t xml:space="preserve">who have not </w:t>
            </w:r>
            <w:r w:rsidR="007B07F6">
              <w:rPr>
                <w:rFonts w:ascii="Arial" w:hAnsi="Arial" w:cs="Arial"/>
              </w:rPr>
              <w:t>received funding from SETA must </w:t>
            </w:r>
            <w:r w:rsidR="00525137">
              <w:rPr>
                <w:rFonts w:ascii="Arial" w:hAnsi="Arial" w:cs="Arial"/>
              </w:rPr>
              <w:t>provide references (see page </w:t>
            </w:r>
            <w:r w:rsidR="007079CB">
              <w:rPr>
                <w:rFonts w:ascii="Arial" w:hAnsi="Arial" w:cs="Arial"/>
              </w:rPr>
              <w:t>85 and Exhibit C)</w:t>
            </w:r>
            <w:r w:rsidR="008833F2">
              <w:rPr>
                <w:rFonts w:ascii="Arial" w:hAnsi="Arial" w:cs="Arial"/>
              </w:rPr>
              <w:t>.</w:t>
            </w:r>
          </w:p>
          <w:p w14:paraId="19CF3899" w14:textId="77777777" w:rsidR="002D1B29" w:rsidRPr="00A71D96" w:rsidRDefault="002D1B29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3DBAF8FC" w14:textId="77777777" w:rsidR="005E19CB" w:rsidRPr="00041B3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983D91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 xml:space="preserve">  </w:t>
            </w:r>
            <w:r w:rsidR="00083762">
              <w:rPr>
                <w:rFonts w:ascii="Arial" w:hAnsi="Arial" w:cs="Arial"/>
              </w:rPr>
              <w:t>For how many years does the proposer need to submit an annual budget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48EEA640" w14:textId="77777777" w:rsidR="005E19CB" w:rsidRPr="00C62BE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066CC2C4" w14:textId="77777777" w:rsidR="005E19CB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983D9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  </w:t>
            </w:r>
            <w:r w:rsidR="00083762">
              <w:rPr>
                <w:rFonts w:ascii="Arial" w:hAnsi="Arial" w:cs="Arial"/>
              </w:rPr>
              <w:t>Only for the first program year (July 1, 2019 to June 30, 2020).</w:t>
            </w:r>
          </w:p>
          <w:p w14:paraId="157880B1" w14:textId="77777777" w:rsidR="002D1B29" w:rsidRPr="00A71D96" w:rsidRDefault="002D1B29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4AEDD593" w14:textId="77777777" w:rsidR="005E19CB" w:rsidRPr="00041B3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BA0D66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</w:rPr>
              <w:t xml:space="preserve">  </w:t>
            </w:r>
            <w:r w:rsidR="00504842">
              <w:rPr>
                <w:rFonts w:ascii="Arial" w:hAnsi="Arial" w:cs="Arial"/>
              </w:rPr>
              <w:t>Should the proposal</w:t>
            </w:r>
            <w:r w:rsidR="00C74FCA">
              <w:rPr>
                <w:rFonts w:ascii="Arial" w:hAnsi="Arial" w:cs="Arial"/>
              </w:rPr>
              <w:t>s</w:t>
            </w:r>
            <w:r w:rsidR="007B07F6">
              <w:rPr>
                <w:rFonts w:ascii="Arial" w:hAnsi="Arial" w:cs="Arial"/>
              </w:rPr>
              <w:t xml:space="preserve"> be bound</w:t>
            </w:r>
            <w:r w:rsidR="00144FC7">
              <w:rPr>
                <w:rFonts w:ascii="Arial" w:hAnsi="Arial" w:cs="Arial"/>
              </w:rPr>
              <w:t>,</w:t>
            </w:r>
            <w:r w:rsidR="007B07F6">
              <w:rPr>
                <w:rFonts w:ascii="Arial" w:hAnsi="Arial" w:cs="Arial"/>
              </w:rPr>
              <w:t xml:space="preserve"> </w:t>
            </w:r>
            <w:r w:rsidR="00504842">
              <w:rPr>
                <w:rFonts w:ascii="Arial" w:hAnsi="Arial" w:cs="Arial"/>
              </w:rPr>
              <w:t xml:space="preserve">or </w:t>
            </w:r>
            <w:r w:rsidR="00144FC7">
              <w:rPr>
                <w:rFonts w:ascii="Arial" w:hAnsi="Arial" w:cs="Arial"/>
              </w:rPr>
              <w:t>3</w:t>
            </w:r>
            <w:r w:rsidR="00144FC7">
              <w:rPr>
                <w:rFonts w:ascii="Arial" w:hAnsi="Arial" w:cs="Arial"/>
              </w:rPr>
              <w:noBreakHyphen/>
              <w:t xml:space="preserve">hole punched </w:t>
            </w:r>
            <w:r w:rsidR="00504842">
              <w:rPr>
                <w:rFonts w:ascii="Arial" w:hAnsi="Arial" w:cs="Arial"/>
              </w:rPr>
              <w:t>in a binder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212748FD" w14:textId="77777777" w:rsidR="005E19CB" w:rsidRPr="00C62BE2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10"/>
              </w:rPr>
            </w:pPr>
          </w:p>
          <w:p w14:paraId="7B27CA8D" w14:textId="1FCC6B75" w:rsidR="005E19CB" w:rsidRDefault="005E19CB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BA0D6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T</w:t>
            </w:r>
            <w:r w:rsidR="00504842">
              <w:rPr>
                <w:rFonts w:ascii="Arial" w:hAnsi="Arial" w:cs="Arial"/>
              </w:rPr>
              <w:t>he proposals should not be in a binder or st</w:t>
            </w:r>
            <w:r w:rsidR="00F42BE8">
              <w:rPr>
                <w:rFonts w:ascii="Arial" w:hAnsi="Arial" w:cs="Arial"/>
              </w:rPr>
              <w:t>apled</w:t>
            </w:r>
            <w:r w:rsidR="007B07F6">
              <w:rPr>
                <w:rFonts w:ascii="Arial" w:hAnsi="Arial" w:cs="Arial"/>
              </w:rPr>
              <w:t xml:space="preserve"> nor in any way bound. </w:t>
            </w:r>
            <w:r w:rsidR="00504842">
              <w:rPr>
                <w:rFonts w:ascii="Arial" w:hAnsi="Arial" w:cs="Arial"/>
              </w:rPr>
              <w:t>The proposals can be</w:t>
            </w:r>
            <w:r w:rsidR="007B07F6">
              <w:rPr>
                <w:rFonts w:ascii="Arial" w:hAnsi="Arial" w:cs="Arial"/>
              </w:rPr>
              <w:t xml:space="preserve"> paper/binder clipped or rubber </w:t>
            </w:r>
            <w:r w:rsidR="00504842">
              <w:rPr>
                <w:rFonts w:ascii="Arial" w:hAnsi="Arial" w:cs="Arial"/>
              </w:rPr>
              <w:t>banded.</w:t>
            </w:r>
            <w:r w:rsidR="0043444D">
              <w:rPr>
                <w:rFonts w:ascii="Arial" w:hAnsi="Arial" w:cs="Arial"/>
              </w:rPr>
              <w:t xml:space="preserve"> </w:t>
            </w:r>
          </w:p>
          <w:p w14:paraId="40928FB7" w14:textId="77777777" w:rsidR="002D1B29" w:rsidRPr="00A71D96" w:rsidRDefault="002D1B29" w:rsidP="005E19CB">
            <w:pPr>
              <w:pStyle w:val="ListParagraph"/>
              <w:shd w:val="clear" w:color="auto" w:fill="FFFFFF" w:themeFill="background1"/>
              <w:ind w:left="721" w:right="870" w:hanging="414"/>
              <w:rPr>
                <w:rFonts w:ascii="Arial" w:hAnsi="Arial" w:cs="Arial"/>
                <w:sz w:val="28"/>
              </w:rPr>
            </w:pPr>
          </w:p>
          <w:p w14:paraId="51A02922" w14:textId="77777777" w:rsidR="005E19CB" w:rsidRPr="00041B32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BA0D66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</w:rPr>
              <w:t xml:space="preserve">  </w:t>
            </w:r>
            <w:r w:rsidR="00C74FCA">
              <w:rPr>
                <w:rFonts w:ascii="Arial" w:hAnsi="Arial" w:cs="Arial"/>
              </w:rPr>
              <w:t>Can youth being served</w:t>
            </w:r>
            <w:r w:rsidR="00C83AA7">
              <w:rPr>
                <w:rFonts w:ascii="Arial" w:hAnsi="Arial" w:cs="Arial"/>
              </w:rPr>
              <w:t xml:space="preserve"> in the program be trained by an exis</w:t>
            </w:r>
            <w:r w:rsidR="006F4440">
              <w:rPr>
                <w:rFonts w:ascii="Arial" w:hAnsi="Arial" w:cs="Arial"/>
              </w:rPr>
              <w:t>ting partner if that partner is </w:t>
            </w:r>
            <w:r w:rsidR="00C83AA7">
              <w:rPr>
                <w:rFonts w:ascii="Arial" w:hAnsi="Arial" w:cs="Arial"/>
              </w:rPr>
              <w:t>not part of the</w:t>
            </w:r>
            <w:r w:rsidR="00C74FCA">
              <w:rPr>
                <w:rFonts w:ascii="Arial" w:hAnsi="Arial" w:cs="Arial"/>
              </w:rPr>
              <w:t xml:space="preserve"> providers</w:t>
            </w:r>
            <w:r w:rsidR="00C83AA7">
              <w:rPr>
                <w:rFonts w:ascii="Arial" w:hAnsi="Arial" w:cs="Arial"/>
              </w:rPr>
              <w:t xml:space="preserve"> grant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0856EC66" w14:textId="77777777" w:rsidR="005E19CB" w:rsidRPr="00C62BE2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09B7BFE1" w14:textId="50D847BA" w:rsidR="005E19CB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BA0D6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W</w:t>
            </w:r>
            <w:r w:rsidR="00870F8F">
              <w:rPr>
                <w:rFonts w:ascii="Arial" w:hAnsi="Arial" w:cs="Arial"/>
              </w:rPr>
              <w:t>here</w:t>
            </w:r>
            <w:r w:rsidR="0043444D">
              <w:rPr>
                <w:rFonts w:ascii="Arial" w:hAnsi="Arial" w:cs="Arial"/>
              </w:rPr>
              <w:t xml:space="preserve"> the existing partner is not a subcontractor</w:t>
            </w:r>
            <w:r w:rsidR="00866E5B">
              <w:rPr>
                <w:rFonts w:ascii="Arial" w:hAnsi="Arial" w:cs="Arial"/>
              </w:rPr>
              <w:t xml:space="preserve">, </w:t>
            </w:r>
            <w:r w:rsidR="0043444D">
              <w:rPr>
                <w:rFonts w:ascii="Arial" w:hAnsi="Arial" w:cs="Arial"/>
              </w:rPr>
              <w:t>and</w:t>
            </w:r>
            <w:r w:rsidR="00C74FCA">
              <w:rPr>
                <w:rFonts w:ascii="Arial" w:hAnsi="Arial" w:cs="Arial"/>
              </w:rPr>
              <w:t xml:space="preserve"> there</w:t>
            </w:r>
            <w:r w:rsidR="00950461">
              <w:rPr>
                <w:rFonts w:ascii="Arial" w:hAnsi="Arial" w:cs="Arial"/>
              </w:rPr>
              <w:t xml:space="preserve"> are</w:t>
            </w:r>
            <w:r w:rsidR="00525137">
              <w:rPr>
                <w:rFonts w:ascii="Arial" w:hAnsi="Arial" w:cs="Arial"/>
              </w:rPr>
              <w:t> </w:t>
            </w:r>
            <w:r w:rsidR="00C74FCA">
              <w:rPr>
                <w:rFonts w:ascii="Arial" w:hAnsi="Arial" w:cs="Arial"/>
              </w:rPr>
              <w:t>no costs attached to the service</w:t>
            </w:r>
            <w:r w:rsidR="00F42BE8">
              <w:rPr>
                <w:rFonts w:ascii="Arial" w:hAnsi="Arial" w:cs="Arial"/>
              </w:rPr>
              <w:t>s</w:t>
            </w:r>
            <w:r w:rsidR="00C74FCA">
              <w:rPr>
                <w:rFonts w:ascii="Arial" w:hAnsi="Arial" w:cs="Arial"/>
              </w:rPr>
              <w:t xml:space="preserve"> </w:t>
            </w:r>
            <w:r w:rsidR="00950461">
              <w:rPr>
                <w:rFonts w:ascii="Arial" w:hAnsi="Arial" w:cs="Arial"/>
              </w:rPr>
              <w:t>provided by the partner</w:t>
            </w:r>
            <w:r w:rsidR="00C74FCA">
              <w:rPr>
                <w:rFonts w:ascii="Arial" w:hAnsi="Arial" w:cs="Arial"/>
              </w:rPr>
              <w:t xml:space="preserve">, </w:t>
            </w:r>
            <w:r w:rsidR="00F42BE8">
              <w:rPr>
                <w:rFonts w:ascii="Arial" w:hAnsi="Arial" w:cs="Arial"/>
              </w:rPr>
              <w:t>the</w:t>
            </w:r>
            <w:r w:rsidR="00950461">
              <w:rPr>
                <w:rFonts w:ascii="Arial" w:hAnsi="Arial" w:cs="Arial"/>
              </w:rPr>
              <w:t xml:space="preserve"> </w:t>
            </w:r>
            <w:r w:rsidR="00525137">
              <w:rPr>
                <w:rFonts w:ascii="Arial" w:hAnsi="Arial" w:cs="Arial"/>
              </w:rPr>
              <w:t>youth can be trained </w:t>
            </w:r>
            <w:r w:rsidR="006F4440">
              <w:rPr>
                <w:rFonts w:ascii="Arial" w:hAnsi="Arial" w:cs="Arial"/>
              </w:rPr>
              <w:t>by an </w:t>
            </w:r>
            <w:r w:rsidR="0043444D">
              <w:rPr>
                <w:rFonts w:ascii="Arial" w:hAnsi="Arial" w:cs="Arial"/>
              </w:rPr>
              <w:t>existing partner</w:t>
            </w:r>
            <w:r w:rsidR="008046B3">
              <w:rPr>
                <w:rFonts w:ascii="Arial" w:hAnsi="Arial" w:cs="Arial"/>
              </w:rPr>
              <w:t xml:space="preserve">. </w:t>
            </w:r>
            <w:r w:rsidR="00C74FCA">
              <w:rPr>
                <w:rFonts w:ascii="Arial" w:hAnsi="Arial" w:cs="Arial"/>
              </w:rPr>
              <w:t xml:space="preserve">The initial grant </w:t>
            </w:r>
            <w:r w:rsidR="00950461">
              <w:rPr>
                <w:rFonts w:ascii="Arial" w:hAnsi="Arial" w:cs="Arial"/>
              </w:rPr>
              <w:t xml:space="preserve">amount </w:t>
            </w:r>
            <w:r w:rsidR="00F42BE8">
              <w:rPr>
                <w:rFonts w:ascii="Arial" w:hAnsi="Arial" w:cs="Arial"/>
              </w:rPr>
              <w:t>will not be increased</w:t>
            </w:r>
            <w:r w:rsidR="00C74FCA">
              <w:rPr>
                <w:rFonts w:ascii="Arial" w:hAnsi="Arial" w:cs="Arial"/>
              </w:rPr>
              <w:t xml:space="preserve"> </w:t>
            </w:r>
            <w:r w:rsidR="00870F8F">
              <w:rPr>
                <w:rFonts w:ascii="Arial" w:hAnsi="Arial" w:cs="Arial"/>
              </w:rPr>
              <w:t>and</w:t>
            </w:r>
            <w:r w:rsidR="00C74FCA">
              <w:rPr>
                <w:rFonts w:ascii="Arial" w:hAnsi="Arial" w:cs="Arial"/>
              </w:rPr>
              <w:t xml:space="preserve"> providers are encouraged to seek out partner</w:t>
            </w:r>
            <w:r w:rsidR="00950461">
              <w:rPr>
                <w:rFonts w:ascii="Arial" w:hAnsi="Arial" w:cs="Arial"/>
              </w:rPr>
              <w:t xml:space="preserve">ships that provide expertise leading </w:t>
            </w:r>
            <w:r w:rsidR="00525137">
              <w:rPr>
                <w:rFonts w:ascii="Arial" w:hAnsi="Arial" w:cs="Arial"/>
              </w:rPr>
              <w:t>to </w:t>
            </w:r>
            <w:r w:rsidR="00422733">
              <w:rPr>
                <w:rFonts w:ascii="Arial" w:hAnsi="Arial" w:cs="Arial"/>
              </w:rPr>
              <w:t>positive outcomes.</w:t>
            </w:r>
          </w:p>
          <w:p w14:paraId="6948BE67" w14:textId="77777777" w:rsidR="00A71D96" w:rsidRPr="00A71D96" w:rsidRDefault="00A71D96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28"/>
              </w:rPr>
            </w:pPr>
          </w:p>
          <w:p w14:paraId="26BD60F1" w14:textId="77777777" w:rsidR="005E19CB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BA0D66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</w:rPr>
              <w:t xml:space="preserve">  </w:t>
            </w:r>
            <w:r w:rsidR="00A35E34">
              <w:rPr>
                <w:rFonts w:ascii="Arial" w:hAnsi="Arial" w:cs="Arial"/>
              </w:rPr>
              <w:t>Can a proposer submit prequalification documentation separately</w:t>
            </w:r>
            <w:r w:rsidR="00CE6771">
              <w:rPr>
                <w:rFonts w:ascii="Arial" w:hAnsi="Arial" w:cs="Arial"/>
              </w:rPr>
              <w:t>,</w:t>
            </w:r>
            <w:r w:rsidR="00A35E34">
              <w:rPr>
                <w:rFonts w:ascii="Arial" w:hAnsi="Arial" w:cs="Arial"/>
              </w:rPr>
              <w:t xml:space="preserve"> </w:t>
            </w:r>
            <w:r w:rsidR="00455D65">
              <w:rPr>
                <w:rFonts w:ascii="Arial" w:hAnsi="Arial" w:cs="Arial"/>
              </w:rPr>
              <w:t>apart</w:t>
            </w:r>
            <w:r w:rsidR="00ED23AB">
              <w:rPr>
                <w:rFonts w:ascii="Arial" w:hAnsi="Arial" w:cs="Arial"/>
              </w:rPr>
              <w:t xml:space="preserve"> from</w:t>
            </w:r>
            <w:r w:rsidR="00A35E34">
              <w:rPr>
                <w:rFonts w:ascii="Arial" w:hAnsi="Arial" w:cs="Arial"/>
              </w:rPr>
              <w:t xml:space="preserve"> a joint partnership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4A3CCA21" w14:textId="77777777" w:rsidR="002D1B29" w:rsidRPr="00A71D96" w:rsidRDefault="002D1B29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19231FE5" w14:textId="77777777" w:rsidR="005E19CB" w:rsidRPr="00A71D96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2"/>
              </w:rPr>
            </w:pPr>
          </w:p>
          <w:p w14:paraId="738B47BD" w14:textId="542CF1F2" w:rsidR="00033DBB" w:rsidRPr="00B41FAF" w:rsidRDefault="005E19CB" w:rsidP="004E1118">
            <w:pPr>
              <w:pStyle w:val="ListParagraph"/>
              <w:shd w:val="clear" w:color="auto" w:fill="FFFFFF" w:themeFill="background1"/>
              <w:ind w:left="721" w:right="60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BA0D66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  </w:t>
            </w:r>
            <w:r w:rsidR="00870F8F">
              <w:rPr>
                <w:rFonts w:ascii="Arial" w:hAnsi="Arial" w:cs="Arial"/>
              </w:rPr>
              <w:t xml:space="preserve">A </w:t>
            </w:r>
            <w:r w:rsidR="00ED23AB" w:rsidRPr="00B41FAF">
              <w:rPr>
                <w:rFonts w:ascii="Arial" w:hAnsi="Arial" w:cs="Arial"/>
              </w:rPr>
              <w:t>joint/limited partnership differs from subcontracting</w:t>
            </w:r>
            <w:r w:rsidR="00455D65" w:rsidRPr="00B41FAF">
              <w:rPr>
                <w:rFonts w:ascii="Arial" w:hAnsi="Arial" w:cs="Arial"/>
              </w:rPr>
              <w:t xml:space="preserve">. </w:t>
            </w:r>
            <w:r w:rsidR="00A35E34" w:rsidRPr="00B41FAF">
              <w:rPr>
                <w:rFonts w:ascii="Arial" w:hAnsi="Arial" w:cs="Arial"/>
              </w:rPr>
              <w:t>If the proposer is part of a joint</w:t>
            </w:r>
            <w:r w:rsidR="00ED23AB" w:rsidRPr="00B41FAF">
              <w:rPr>
                <w:rFonts w:ascii="Arial" w:hAnsi="Arial" w:cs="Arial"/>
              </w:rPr>
              <w:t>/limited</w:t>
            </w:r>
            <w:r w:rsidR="00A35E34" w:rsidRPr="00B41FAF">
              <w:rPr>
                <w:rFonts w:ascii="Arial" w:hAnsi="Arial" w:cs="Arial"/>
              </w:rPr>
              <w:t xml:space="preserve"> venture</w:t>
            </w:r>
            <w:r w:rsidR="00150D9B" w:rsidRPr="00B41FAF">
              <w:rPr>
                <w:rFonts w:ascii="Arial" w:hAnsi="Arial" w:cs="Arial"/>
              </w:rPr>
              <w:t xml:space="preserve"> or </w:t>
            </w:r>
            <w:r w:rsidR="00A35E34" w:rsidRPr="00B41FAF">
              <w:rPr>
                <w:rFonts w:ascii="Arial" w:hAnsi="Arial" w:cs="Arial"/>
              </w:rPr>
              <w:t>partnership, the</w:t>
            </w:r>
            <w:r w:rsidR="00150D9B" w:rsidRPr="00B41FAF">
              <w:rPr>
                <w:rFonts w:ascii="Arial" w:hAnsi="Arial" w:cs="Arial"/>
              </w:rPr>
              <w:t>n</w:t>
            </w:r>
            <w:r w:rsidR="00A35E34" w:rsidRPr="00B41FAF">
              <w:rPr>
                <w:rFonts w:ascii="Arial" w:hAnsi="Arial" w:cs="Arial"/>
              </w:rPr>
              <w:t xml:space="preserve"> </w:t>
            </w:r>
            <w:r w:rsidR="00150D9B" w:rsidRPr="00B41FAF">
              <w:rPr>
                <w:rFonts w:ascii="Arial" w:hAnsi="Arial" w:cs="Arial"/>
              </w:rPr>
              <w:t>all parties need</w:t>
            </w:r>
            <w:r w:rsidR="00A35E34" w:rsidRPr="00B41FAF">
              <w:rPr>
                <w:rFonts w:ascii="Arial" w:hAnsi="Arial" w:cs="Arial"/>
              </w:rPr>
              <w:t xml:space="preserve"> to apply </w:t>
            </w:r>
            <w:r w:rsidR="00455D65" w:rsidRPr="00B41FAF">
              <w:rPr>
                <w:rFonts w:ascii="Arial" w:hAnsi="Arial" w:cs="Arial"/>
              </w:rPr>
              <w:t>separately</w:t>
            </w:r>
            <w:r w:rsidR="00B77064" w:rsidRPr="00B41FAF">
              <w:rPr>
                <w:rFonts w:ascii="Arial" w:hAnsi="Arial" w:cs="Arial"/>
              </w:rPr>
              <w:t xml:space="preserve"> and be </w:t>
            </w:r>
            <w:r w:rsidR="00B41FAF">
              <w:rPr>
                <w:rFonts w:ascii="Arial" w:hAnsi="Arial" w:cs="Arial"/>
              </w:rPr>
              <w:t>pre</w:t>
            </w:r>
            <w:r w:rsidR="00B77064" w:rsidRPr="00B41FAF">
              <w:rPr>
                <w:rFonts w:ascii="Arial" w:hAnsi="Arial" w:cs="Arial"/>
              </w:rPr>
              <w:t>qualified separately</w:t>
            </w:r>
            <w:r w:rsidR="007B07F6" w:rsidRPr="00B41FAF">
              <w:rPr>
                <w:rFonts w:ascii="Arial" w:hAnsi="Arial" w:cs="Arial"/>
              </w:rPr>
              <w:t xml:space="preserve">. </w:t>
            </w:r>
            <w:r w:rsidR="000F1D7C" w:rsidRPr="00B41FAF">
              <w:rPr>
                <w:rFonts w:ascii="Arial" w:hAnsi="Arial" w:cs="Arial"/>
              </w:rPr>
              <w:t>A </w:t>
            </w:r>
            <w:r w:rsidR="00A35E34" w:rsidRPr="00B41FAF">
              <w:rPr>
                <w:rFonts w:ascii="Arial" w:hAnsi="Arial" w:cs="Arial"/>
              </w:rPr>
              <w:t xml:space="preserve">subcontractor </w:t>
            </w:r>
            <w:r w:rsidR="00CE6771" w:rsidRPr="00B41FAF">
              <w:rPr>
                <w:rFonts w:ascii="Arial" w:hAnsi="Arial" w:cs="Arial"/>
              </w:rPr>
              <w:t>(i.e., </w:t>
            </w:r>
            <w:r w:rsidR="007B07F6" w:rsidRPr="00B41FAF">
              <w:rPr>
                <w:rFonts w:ascii="Arial" w:hAnsi="Arial" w:cs="Arial"/>
              </w:rPr>
              <w:t>a </w:t>
            </w:r>
            <w:r w:rsidR="00A35E34" w:rsidRPr="00B41FAF">
              <w:rPr>
                <w:rFonts w:ascii="Arial" w:hAnsi="Arial" w:cs="Arial"/>
              </w:rPr>
              <w:t>partner for expe</w:t>
            </w:r>
            <w:r w:rsidR="00150D9B" w:rsidRPr="00B41FAF">
              <w:rPr>
                <w:rFonts w:ascii="Arial" w:hAnsi="Arial" w:cs="Arial"/>
              </w:rPr>
              <w:t>rtise) is</w:t>
            </w:r>
            <w:r w:rsidR="00B41FAF">
              <w:rPr>
                <w:rFonts w:ascii="Arial" w:hAnsi="Arial" w:cs="Arial"/>
              </w:rPr>
              <w:t> </w:t>
            </w:r>
            <w:r w:rsidR="006F4440" w:rsidRPr="00B41FAF">
              <w:rPr>
                <w:rFonts w:ascii="Arial" w:hAnsi="Arial" w:cs="Arial"/>
              </w:rPr>
              <w:t>part </w:t>
            </w:r>
            <w:r w:rsidR="0007592C">
              <w:rPr>
                <w:rFonts w:ascii="Arial" w:hAnsi="Arial" w:cs="Arial"/>
              </w:rPr>
              <w:t>of the proposer</w:t>
            </w:r>
            <w:r w:rsidR="00A35E34" w:rsidRPr="00B41FAF">
              <w:rPr>
                <w:rFonts w:ascii="Arial" w:hAnsi="Arial" w:cs="Arial"/>
              </w:rPr>
              <w:t>’</w:t>
            </w:r>
            <w:r w:rsidR="00150D9B" w:rsidRPr="00B41FAF">
              <w:rPr>
                <w:rFonts w:ascii="Arial" w:hAnsi="Arial" w:cs="Arial"/>
              </w:rPr>
              <w:t>s contract</w:t>
            </w:r>
            <w:r w:rsidR="00D05FE1" w:rsidRPr="00B41FAF">
              <w:rPr>
                <w:rFonts w:ascii="Arial" w:hAnsi="Arial" w:cs="Arial"/>
              </w:rPr>
              <w:t xml:space="preserve"> and </w:t>
            </w:r>
            <w:r w:rsidR="00F53273">
              <w:rPr>
                <w:rFonts w:ascii="Arial" w:hAnsi="Arial" w:cs="Arial"/>
              </w:rPr>
              <w:t>need</w:t>
            </w:r>
            <w:r w:rsidR="00D05FE1" w:rsidRPr="00B41FAF">
              <w:rPr>
                <w:rFonts w:ascii="Arial" w:hAnsi="Arial" w:cs="Arial"/>
              </w:rPr>
              <w:t xml:space="preserve"> not </w:t>
            </w:r>
            <w:r w:rsidR="00870F8F">
              <w:rPr>
                <w:rFonts w:ascii="Arial" w:hAnsi="Arial" w:cs="Arial"/>
              </w:rPr>
              <w:t xml:space="preserve">separately </w:t>
            </w:r>
            <w:r w:rsidR="00F53273">
              <w:rPr>
                <w:rFonts w:ascii="Arial" w:hAnsi="Arial" w:cs="Arial"/>
              </w:rPr>
              <w:t>pre</w:t>
            </w:r>
            <w:r w:rsidR="00B41FAF" w:rsidRPr="00B41FAF">
              <w:rPr>
                <w:rFonts w:ascii="Arial" w:hAnsi="Arial" w:cs="Arial"/>
              </w:rPr>
              <w:t>qualif</w:t>
            </w:r>
            <w:r w:rsidR="00870F8F">
              <w:rPr>
                <w:rFonts w:ascii="Arial" w:hAnsi="Arial" w:cs="Arial"/>
              </w:rPr>
              <w:t>y</w:t>
            </w:r>
            <w:r w:rsidR="00B41FAF">
              <w:rPr>
                <w:rFonts w:ascii="Arial" w:hAnsi="Arial" w:cs="Arial"/>
              </w:rPr>
              <w:t xml:space="preserve"> as part of the contract</w:t>
            </w:r>
            <w:r w:rsidR="00D05FE1" w:rsidRPr="00B41FAF">
              <w:rPr>
                <w:rFonts w:ascii="Arial" w:hAnsi="Arial" w:cs="Arial"/>
              </w:rPr>
              <w:t>.</w:t>
            </w:r>
            <w:r w:rsidR="000F1D7C" w:rsidRPr="00B41FAF">
              <w:rPr>
                <w:rFonts w:ascii="Arial" w:hAnsi="Arial" w:cs="Arial"/>
              </w:rPr>
              <w:t xml:space="preserve">  </w:t>
            </w:r>
          </w:p>
          <w:p w14:paraId="414C1CAA" w14:textId="77777777" w:rsidR="00033DBB" w:rsidRPr="00B41FAF" w:rsidRDefault="00033DB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1FF47B1A" w14:textId="10E52289" w:rsidR="005E19CB" w:rsidRDefault="00866E5B" w:rsidP="004E1118">
            <w:pPr>
              <w:pStyle w:val="ListParagraph"/>
              <w:shd w:val="clear" w:color="auto" w:fill="FFFFFF" w:themeFill="background1"/>
              <w:ind w:left="721" w:right="870" w:hanging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Also,</w:t>
            </w:r>
            <w:r w:rsidR="000F1D7C" w:rsidRPr="00B41FAF">
              <w:rPr>
                <w:rFonts w:ascii="Arial" w:hAnsi="Arial" w:cs="Arial"/>
              </w:rPr>
              <w:t xml:space="preserve"> the focus of the grant is to serve you</w:t>
            </w:r>
            <w:r w:rsidR="00033DBB" w:rsidRPr="00B41FAF">
              <w:rPr>
                <w:rFonts w:ascii="Arial" w:hAnsi="Arial" w:cs="Arial"/>
              </w:rPr>
              <w:t>th</w:t>
            </w:r>
            <w:r w:rsidR="00033DBB" w:rsidRPr="00B41FAF">
              <w:rPr>
                <w:rFonts w:ascii="Arial" w:hAnsi="Arial" w:cs="Arial"/>
              </w:rPr>
              <w:noBreakHyphen/>
              <w:t>at</w:t>
            </w:r>
            <w:r w:rsidR="00033DBB" w:rsidRPr="00B41FAF">
              <w:rPr>
                <w:rFonts w:ascii="Arial" w:hAnsi="Arial" w:cs="Arial"/>
              </w:rPr>
              <w:noBreakHyphen/>
              <w:t>risk, mainly</w:t>
            </w:r>
            <w:r w:rsidR="000F1D7C" w:rsidRPr="00B41FAF">
              <w:rPr>
                <w:rFonts w:ascii="Arial" w:hAnsi="Arial" w:cs="Arial"/>
              </w:rPr>
              <w:t xml:space="preserve"> </w:t>
            </w:r>
            <w:r w:rsidR="00033DBB" w:rsidRPr="00B41FAF">
              <w:rPr>
                <w:rFonts w:ascii="Arial" w:hAnsi="Arial" w:cs="Arial"/>
              </w:rPr>
              <w:t xml:space="preserve">unemployed </w:t>
            </w:r>
            <w:r w:rsidR="00A04879" w:rsidRPr="00B41FAF">
              <w:rPr>
                <w:rFonts w:ascii="Arial" w:hAnsi="Arial" w:cs="Arial"/>
              </w:rPr>
              <w:t>out</w:t>
            </w:r>
            <w:r w:rsidR="00A04879" w:rsidRPr="00B41FAF">
              <w:rPr>
                <w:rFonts w:ascii="Arial" w:hAnsi="Arial" w:cs="Arial"/>
              </w:rPr>
              <w:noBreakHyphen/>
              <w:t>of</w:t>
            </w:r>
            <w:r w:rsidR="00A04879" w:rsidRPr="00B41FAF">
              <w:rPr>
                <w:rFonts w:ascii="Arial" w:hAnsi="Arial" w:cs="Arial"/>
              </w:rPr>
              <w:noBreakHyphen/>
              <w:t>school</w:t>
            </w:r>
            <w:r w:rsidR="00033DBB" w:rsidRPr="00B41FAF">
              <w:rPr>
                <w:rFonts w:ascii="Arial" w:hAnsi="Arial" w:cs="Arial"/>
              </w:rPr>
              <w:t xml:space="preserve"> youth not</w:t>
            </w:r>
            <w:r w:rsidR="000F1D7C" w:rsidRPr="00B41FAF">
              <w:rPr>
                <w:rFonts w:ascii="Arial" w:hAnsi="Arial" w:cs="Arial"/>
              </w:rPr>
              <w:t xml:space="preserve"> in training</w:t>
            </w:r>
            <w:r w:rsidR="00A04879" w:rsidRPr="00B41FA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and </w:t>
            </w:r>
            <w:r w:rsidR="00A04879" w:rsidRPr="00B41FAF">
              <w:rPr>
                <w:rFonts w:ascii="Arial" w:hAnsi="Arial" w:cs="Arial"/>
              </w:rPr>
              <w:t>subcontracting is allowed to </w:t>
            </w:r>
            <w:r w:rsidR="00033DBB" w:rsidRPr="00B41FAF">
              <w:rPr>
                <w:rFonts w:ascii="Arial" w:hAnsi="Arial" w:cs="Arial"/>
              </w:rPr>
              <w:t xml:space="preserve">provide enhancements to the service provider’s program. </w:t>
            </w:r>
            <w:r w:rsidR="00FC2A34" w:rsidRPr="00B41FAF">
              <w:rPr>
                <w:rFonts w:ascii="Arial" w:hAnsi="Arial" w:cs="Arial"/>
              </w:rPr>
              <w:t xml:space="preserve"> SETA </w:t>
            </w:r>
            <w:r w:rsidR="00033DBB" w:rsidRPr="00B41FAF">
              <w:rPr>
                <w:rFonts w:ascii="Arial" w:hAnsi="Arial" w:cs="Arial"/>
              </w:rPr>
              <w:t xml:space="preserve">has insurance </w:t>
            </w:r>
            <w:r w:rsidR="00FC2A34" w:rsidRPr="00B41FAF">
              <w:rPr>
                <w:rFonts w:ascii="Arial" w:hAnsi="Arial" w:cs="Arial"/>
              </w:rPr>
              <w:t>requirements that are</w:t>
            </w:r>
            <w:r w:rsidR="00033DBB" w:rsidRPr="00B41FAF">
              <w:rPr>
                <w:rFonts w:ascii="Arial" w:hAnsi="Arial" w:cs="Arial"/>
              </w:rPr>
              <w:t xml:space="preserve"> triggered when </w:t>
            </w:r>
            <w:r w:rsidR="00FC2A34" w:rsidRPr="00B41FAF">
              <w:rPr>
                <w:rFonts w:ascii="Arial" w:hAnsi="Arial" w:cs="Arial"/>
              </w:rPr>
              <w:t>a subcontractor is </w:t>
            </w:r>
            <w:r w:rsidR="00033DBB" w:rsidRPr="00B41FAF">
              <w:rPr>
                <w:rFonts w:ascii="Arial" w:hAnsi="Arial" w:cs="Arial"/>
              </w:rPr>
              <w:t>utilized.</w:t>
            </w:r>
          </w:p>
          <w:p w14:paraId="01236A05" w14:textId="77777777" w:rsidR="002D1B29" w:rsidRPr="00A71D96" w:rsidRDefault="002D1B29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28"/>
              </w:rPr>
            </w:pPr>
          </w:p>
          <w:p w14:paraId="46A6DF90" w14:textId="77777777" w:rsidR="005E19CB" w:rsidRPr="00041B32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BA0D66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</w:rPr>
              <w:t xml:space="preserve">  </w:t>
            </w:r>
            <w:r w:rsidR="003E58A0">
              <w:rPr>
                <w:rFonts w:ascii="Arial" w:hAnsi="Arial" w:cs="Arial"/>
              </w:rPr>
              <w:t>Should</w:t>
            </w:r>
            <w:r w:rsidR="00E17C13">
              <w:rPr>
                <w:rFonts w:ascii="Arial" w:hAnsi="Arial" w:cs="Arial"/>
              </w:rPr>
              <w:t xml:space="preserve"> the provider’s training plan </w:t>
            </w:r>
            <w:r w:rsidR="00C443CB">
              <w:rPr>
                <w:rFonts w:ascii="Arial" w:hAnsi="Arial" w:cs="Arial"/>
              </w:rPr>
              <w:t>list</w:t>
            </w:r>
            <w:r w:rsidR="00E17C13">
              <w:rPr>
                <w:rFonts w:ascii="Arial" w:hAnsi="Arial" w:cs="Arial"/>
              </w:rPr>
              <w:t xml:space="preserve"> non-career courses, such as financial literacy, </w:t>
            </w:r>
            <w:r w:rsidR="003E58A0">
              <w:rPr>
                <w:rFonts w:ascii="Arial" w:hAnsi="Arial" w:cs="Arial"/>
              </w:rPr>
              <w:t xml:space="preserve">even </w:t>
            </w:r>
            <w:r w:rsidR="00E17C13">
              <w:rPr>
                <w:rFonts w:ascii="Arial" w:hAnsi="Arial" w:cs="Arial"/>
              </w:rPr>
              <w:t>if this segment is subcontracted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0ADB756D" w14:textId="77777777" w:rsidR="005E19CB" w:rsidRPr="00C62BE2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20349AEF" w14:textId="1498F29F" w:rsidR="00F607E8" w:rsidRDefault="005E19C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BA0D66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  </w:t>
            </w:r>
            <w:r w:rsidR="004B1D19">
              <w:rPr>
                <w:rFonts w:ascii="Arial" w:hAnsi="Arial" w:cs="Arial"/>
              </w:rPr>
              <w:t>Yes</w:t>
            </w:r>
            <w:r w:rsidR="003E58A0">
              <w:rPr>
                <w:rFonts w:ascii="Arial" w:hAnsi="Arial" w:cs="Arial"/>
              </w:rPr>
              <w:t>.</w:t>
            </w:r>
          </w:p>
          <w:p w14:paraId="2C9C4396" w14:textId="77777777" w:rsidR="00D512FB" w:rsidRDefault="00D512FB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51C88C0A" w14:textId="77777777" w:rsidR="004E1118" w:rsidRPr="00041B32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</w:rPr>
              <w:t xml:space="preserve">  Can staff time in the budget proposal be included in the 20% allotted for work experience costs?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15B14A75" w14:textId="77777777" w:rsidR="004E1118" w:rsidRPr="00C62BE2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4D821BE2" w14:textId="77777777" w:rsidR="004E1118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13  Yes. Generally, if the costs allotted relate to worksite development or management of youth while placed in the paid work experience.</w:t>
            </w:r>
          </w:p>
          <w:p w14:paraId="13747B7B" w14:textId="77777777" w:rsidR="004E1118" w:rsidRPr="00FD01DF" w:rsidRDefault="004E1118" w:rsidP="004E1118">
            <w:pPr>
              <w:pStyle w:val="ListParagraph"/>
              <w:shd w:val="clear" w:color="auto" w:fill="FFFFFF" w:themeFill="background1"/>
              <w:ind w:left="721"/>
              <w:rPr>
                <w:rFonts w:ascii="Arial" w:hAnsi="Arial" w:cs="Arial"/>
                <w:sz w:val="28"/>
              </w:rPr>
            </w:pPr>
          </w:p>
          <w:p w14:paraId="76B1D102" w14:textId="77777777" w:rsidR="004E1118" w:rsidRPr="00041B32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</w:rPr>
              <w:t xml:space="preserve">  Is 75% of the budget proposal to out-of-school services fixed or variable?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1EAC23D4" w14:textId="77777777" w:rsidR="004E1118" w:rsidRPr="00C62BE2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  <w:sz w:val="10"/>
              </w:rPr>
            </w:pPr>
          </w:p>
          <w:p w14:paraId="4CE73749" w14:textId="77777777" w:rsidR="004E1118" w:rsidRDefault="004E1118" w:rsidP="004E1118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14  WIOA requires that a minimum of 75% of funds be allocated to out</w:t>
            </w:r>
            <w:r>
              <w:rPr>
                <w:rFonts w:ascii="Arial" w:hAnsi="Arial" w:cs="Arial"/>
              </w:rPr>
              <w:noBreakHyphen/>
              <w:t>of</w:t>
            </w:r>
            <w:r>
              <w:rPr>
                <w:rFonts w:ascii="Arial" w:hAnsi="Arial" w:cs="Arial"/>
              </w:rPr>
              <w:noBreakHyphen/>
              <w:t>school youth services.</w:t>
            </w:r>
          </w:p>
          <w:p w14:paraId="38150E31" w14:textId="68269E85" w:rsidR="004E1118" w:rsidRPr="0010517C" w:rsidRDefault="004E1118" w:rsidP="00C443CB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</w:tc>
      </w:tr>
      <w:tr w:rsidR="007D62CB" w:rsidRPr="00DF1AA3" w14:paraId="6FA7B4F3" w14:textId="77777777" w:rsidTr="00D81A4C">
        <w:trPr>
          <w:trHeight w:val="9450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DFFF6F" w14:textId="77777777" w:rsidR="00FE286C" w:rsidRPr="00A71D96" w:rsidRDefault="00FE286C" w:rsidP="0049616B">
            <w:pPr>
              <w:pStyle w:val="ListParagraph"/>
              <w:shd w:val="clear" w:color="auto" w:fill="FFFFFF" w:themeFill="background1"/>
              <w:ind w:left="882" w:right="870" w:hanging="522"/>
              <w:rPr>
                <w:rFonts w:ascii="Arial" w:hAnsi="Arial" w:cs="Arial"/>
                <w:sz w:val="28"/>
              </w:rPr>
            </w:pPr>
          </w:p>
          <w:p w14:paraId="50572CA6" w14:textId="77777777" w:rsidR="00FE286C" w:rsidRPr="00041B32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</w:rPr>
              <w:t xml:space="preserve">  </w:t>
            </w:r>
            <w:r w:rsidR="003C3FDC">
              <w:rPr>
                <w:rFonts w:ascii="Arial" w:hAnsi="Arial" w:cs="Arial"/>
              </w:rPr>
              <w:t xml:space="preserve">What kinds of supportive services can be included in </w:t>
            </w:r>
            <w:r w:rsidR="0080576A">
              <w:rPr>
                <w:rFonts w:ascii="Arial" w:hAnsi="Arial" w:cs="Arial"/>
              </w:rPr>
              <w:t xml:space="preserve">the </w:t>
            </w:r>
            <w:r w:rsidR="003C3FDC">
              <w:rPr>
                <w:rFonts w:ascii="Arial" w:hAnsi="Arial" w:cs="Arial"/>
              </w:rPr>
              <w:t>proposed budget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3B58C8BA" w14:textId="77777777" w:rsidR="00FE286C" w:rsidRPr="00C62BE2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8195B0A" w14:textId="0F331A22" w:rsidR="00FE286C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15  </w:t>
            </w:r>
            <w:r w:rsidR="00866E5B">
              <w:rPr>
                <w:rFonts w:ascii="Arial" w:hAnsi="Arial" w:cs="Arial"/>
              </w:rPr>
              <w:t>A</w:t>
            </w:r>
            <w:r w:rsidR="003C3FDC">
              <w:rPr>
                <w:rFonts w:ascii="Arial" w:hAnsi="Arial" w:cs="Arial"/>
              </w:rPr>
              <w:t>nything that helps the youth obt</w:t>
            </w:r>
            <w:r w:rsidR="0080576A">
              <w:rPr>
                <w:rFonts w:ascii="Arial" w:hAnsi="Arial" w:cs="Arial"/>
              </w:rPr>
              <w:t>ain or keep a job can be listed </w:t>
            </w:r>
            <w:r w:rsidR="003C3FDC">
              <w:rPr>
                <w:rFonts w:ascii="Arial" w:hAnsi="Arial" w:cs="Arial"/>
              </w:rPr>
              <w:t xml:space="preserve">in the proposed budget (i.e., transportation, appropriate or required </w:t>
            </w:r>
            <w:r w:rsidR="004F3216">
              <w:rPr>
                <w:rFonts w:ascii="Arial" w:hAnsi="Arial" w:cs="Arial"/>
              </w:rPr>
              <w:t xml:space="preserve">clothing). </w:t>
            </w:r>
            <w:r w:rsidR="001C2B07">
              <w:rPr>
                <w:rFonts w:ascii="Arial" w:hAnsi="Arial" w:cs="Arial"/>
              </w:rPr>
              <w:t>S</w:t>
            </w:r>
            <w:r w:rsidR="003C3FDC">
              <w:rPr>
                <w:rFonts w:ascii="Arial" w:hAnsi="Arial" w:cs="Arial"/>
              </w:rPr>
              <w:t xml:space="preserve">upportive services are not included in the 20% </w:t>
            </w:r>
            <w:r w:rsidR="00125C39">
              <w:rPr>
                <w:rFonts w:ascii="Arial" w:hAnsi="Arial" w:cs="Arial"/>
              </w:rPr>
              <w:t>paid/unpaid work experience</w:t>
            </w:r>
            <w:r w:rsidR="002C22FC">
              <w:rPr>
                <w:rFonts w:ascii="Arial" w:hAnsi="Arial" w:cs="Arial"/>
              </w:rPr>
              <w:t xml:space="preserve"> allocation</w:t>
            </w:r>
            <w:r w:rsidR="003C3FDC">
              <w:rPr>
                <w:rFonts w:ascii="Arial" w:hAnsi="Arial" w:cs="Arial"/>
              </w:rPr>
              <w:t>.</w:t>
            </w:r>
          </w:p>
          <w:p w14:paraId="5FC675CF" w14:textId="77777777" w:rsidR="00FE286C" w:rsidRPr="00A71D96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5BA2649C" w14:textId="77777777" w:rsidR="00FE286C" w:rsidRPr="00F31724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F31724">
              <w:rPr>
                <w:rFonts w:ascii="Arial" w:hAnsi="Arial" w:cs="Arial"/>
                <w:b/>
              </w:rPr>
              <w:t>Q16</w:t>
            </w:r>
            <w:r w:rsidRPr="00F31724">
              <w:rPr>
                <w:rFonts w:ascii="Arial" w:hAnsi="Arial" w:cs="Arial"/>
              </w:rPr>
              <w:t xml:space="preserve">  </w:t>
            </w:r>
            <w:r w:rsidR="007032E5" w:rsidRPr="00F31724">
              <w:rPr>
                <w:rFonts w:ascii="Arial" w:hAnsi="Arial" w:cs="Arial"/>
              </w:rPr>
              <w:t>To clarify, are wages and staff time included in the 20%</w:t>
            </w:r>
            <w:r w:rsidR="00CE6951">
              <w:rPr>
                <w:rFonts w:ascii="Arial" w:hAnsi="Arial" w:cs="Arial"/>
              </w:rPr>
              <w:t xml:space="preserve"> allocation for work experience</w:t>
            </w:r>
            <w:r w:rsidRPr="00F31724">
              <w:rPr>
                <w:rFonts w:ascii="Arial" w:hAnsi="Arial" w:cs="Arial"/>
              </w:rPr>
              <w:t xml:space="preserve">? </w:t>
            </w:r>
          </w:p>
          <w:p w14:paraId="7FFA896A" w14:textId="77777777" w:rsidR="00FE286C" w:rsidRPr="00F31724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976920E" w14:textId="4FD3F9E1" w:rsidR="00FE286C" w:rsidRDefault="00FE286C" w:rsidP="004E1118">
            <w:pPr>
              <w:pStyle w:val="ListParagraph"/>
              <w:shd w:val="clear" w:color="auto" w:fill="FFFFFF" w:themeFill="background1"/>
              <w:ind w:left="702" w:right="870" w:hanging="500"/>
              <w:rPr>
                <w:rFonts w:ascii="Arial" w:hAnsi="Arial" w:cs="Arial"/>
              </w:rPr>
            </w:pPr>
            <w:r w:rsidRPr="00F31724">
              <w:rPr>
                <w:rFonts w:ascii="Arial" w:hAnsi="Arial" w:cs="Arial"/>
              </w:rPr>
              <w:t>A16</w:t>
            </w:r>
            <w:r>
              <w:rPr>
                <w:rFonts w:ascii="Arial" w:hAnsi="Arial" w:cs="Arial"/>
              </w:rPr>
              <w:t> </w:t>
            </w:r>
            <w:r w:rsidR="00CE6951">
              <w:rPr>
                <w:rFonts w:ascii="Arial" w:hAnsi="Arial" w:cs="Arial"/>
              </w:rPr>
              <w:t xml:space="preserve"> </w:t>
            </w:r>
            <w:r w:rsidR="00F31724">
              <w:rPr>
                <w:rFonts w:ascii="Arial" w:hAnsi="Arial" w:cs="Arial"/>
              </w:rPr>
              <w:t>Yes; wages paid to the youth and the staff time to deve</w:t>
            </w:r>
            <w:r w:rsidR="0080576A">
              <w:rPr>
                <w:rFonts w:ascii="Arial" w:hAnsi="Arial" w:cs="Arial"/>
              </w:rPr>
              <w:t>lop the worksite and manage the </w:t>
            </w:r>
            <w:r w:rsidR="00F31724">
              <w:rPr>
                <w:rFonts w:ascii="Arial" w:hAnsi="Arial" w:cs="Arial"/>
              </w:rPr>
              <w:t>youth while in the paid work experience placement</w:t>
            </w:r>
            <w:r w:rsidR="003E1B67">
              <w:rPr>
                <w:rFonts w:ascii="Arial" w:hAnsi="Arial" w:cs="Arial"/>
              </w:rPr>
              <w:t>,</w:t>
            </w:r>
            <w:r w:rsidR="00F31724">
              <w:rPr>
                <w:rFonts w:ascii="Arial" w:hAnsi="Arial" w:cs="Arial"/>
              </w:rPr>
              <w:t xml:space="preserve"> count toward the 20% expenditure requirement.</w:t>
            </w:r>
          </w:p>
          <w:p w14:paraId="64CE0850" w14:textId="77777777" w:rsidR="00FE286C" w:rsidRPr="003E1B67" w:rsidRDefault="00FE286C" w:rsidP="004E1118">
            <w:pPr>
              <w:pStyle w:val="ListParagraph"/>
              <w:shd w:val="clear" w:color="auto" w:fill="FFFFFF" w:themeFill="background1"/>
              <w:ind w:left="702"/>
              <w:rPr>
                <w:rFonts w:ascii="Arial" w:hAnsi="Arial" w:cs="Arial"/>
                <w:sz w:val="28"/>
              </w:rPr>
            </w:pPr>
          </w:p>
          <w:p w14:paraId="4F21CE1D" w14:textId="77777777" w:rsidR="00FE286C" w:rsidRPr="00041B32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17</w:t>
            </w:r>
            <w:r>
              <w:rPr>
                <w:rFonts w:ascii="Arial" w:hAnsi="Arial" w:cs="Arial"/>
              </w:rPr>
              <w:t xml:space="preserve">  </w:t>
            </w:r>
            <w:r w:rsidR="003955A7">
              <w:rPr>
                <w:rFonts w:ascii="Arial" w:hAnsi="Arial" w:cs="Arial"/>
              </w:rPr>
              <w:t>How long should a youth be out-of-school before prog</w:t>
            </w:r>
            <w:r w:rsidR="0080576A">
              <w:rPr>
                <w:rFonts w:ascii="Arial" w:hAnsi="Arial" w:cs="Arial"/>
              </w:rPr>
              <w:t>ram services can be provided to </w:t>
            </w:r>
            <w:r w:rsidR="003955A7">
              <w:rPr>
                <w:rFonts w:ascii="Arial" w:hAnsi="Arial" w:cs="Arial"/>
              </w:rPr>
              <w:t>him/her</w:t>
            </w:r>
            <w:r>
              <w:rPr>
                <w:rFonts w:ascii="Arial" w:hAnsi="Arial" w:cs="Arial"/>
              </w:rPr>
              <w:t>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5EECFB56" w14:textId="77777777" w:rsidR="00FE286C" w:rsidRPr="00C62BE2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472F30D" w14:textId="15CEA207" w:rsidR="00FE286C" w:rsidRDefault="00FE286C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17  </w:t>
            </w:r>
            <w:r w:rsidR="00866E5B">
              <w:rPr>
                <w:rFonts w:ascii="Arial" w:hAnsi="Arial" w:cs="Arial"/>
              </w:rPr>
              <w:t>T</w:t>
            </w:r>
            <w:r w:rsidR="003955A7">
              <w:rPr>
                <w:rFonts w:ascii="Arial" w:hAnsi="Arial" w:cs="Arial"/>
              </w:rPr>
              <w:t>he youth need only be out</w:t>
            </w:r>
            <w:r w:rsidR="003955A7">
              <w:rPr>
                <w:rFonts w:ascii="Arial" w:hAnsi="Arial" w:cs="Arial"/>
              </w:rPr>
              <w:noBreakHyphen/>
              <w:t>of</w:t>
            </w:r>
            <w:r w:rsidR="003955A7">
              <w:rPr>
                <w:rFonts w:ascii="Arial" w:hAnsi="Arial" w:cs="Arial"/>
              </w:rPr>
              <w:noBreakHyphen/>
              <w:t>school</w:t>
            </w:r>
            <w:r w:rsidR="00F05B1E">
              <w:rPr>
                <w:rFonts w:ascii="Arial" w:hAnsi="Arial" w:cs="Arial"/>
              </w:rPr>
              <w:t xml:space="preserve"> (i.e., not enrolled in a school</w:t>
            </w:r>
            <w:r w:rsidR="00922D3F">
              <w:rPr>
                <w:rFonts w:ascii="Arial" w:hAnsi="Arial" w:cs="Arial"/>
              </w:rPr>
              <w:t>) at the time of enrollment.</w:t>
            </w:r>
          </w:p>
          <w:p w14:paraId="08E30747" w14:textId="77777777" w:rsidR="00FE286C" w:rsidRPr="003749C0" w:rsidRDefault="00FE286C" w:rsidP="004E1118">
            <w:pPr>
              <w:pStyle w:val="ListParagraph"/>
              <w:shd w:val="clear" w:color="auto" w:fill="FFFFFF" w:themeFill="background1"/>
              <w:ind w:left="702"/>
              <w:rPr>
                <w:rFonts w:ascii="Arial" w:hAnsi="Arial" w:cs="Arial"/>
                <w:sz w:val="28"/>
              </w:rPr>
            </w:pPr>
          </w:p>
          <w:p w14:paraId="089AE233" w14:textId="7BE24C9D" w:rsidR="003749C0" w:rsidRPr="00041B32" w:rsidRDefault="003749C0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</w:rPr>
              <w:t xml:space="preserve">  Do youth </w:t>
            </w:r>
            <w:r w:rsidR="00F05B1E">
              <w:rPr>
                <w:rFonts w:ascii="Arial" w:hAnsi="Arial" w:cs="Arial"/>
              </w:rPr>
              <w:t xml:space="preserve"> who receive</w:t>
            </w:r>
            <w:r w:rsidR="00151613">
              <w:rPr>
                <w:rFonts w:ascii="Arial" w:hAnsi="Arial" w:cs="Arial"/>
              </w:rPr>
              <w:t xml:space="preserve"> a diploma</w:t>
            </w:r>
            <w:r>
              <w:rPr>
                <w:rFonts w:ascii="Arial" w:hAnsi="Arial" w:cs="Arial"/>
              </w:rPr>
              <w:t xml:space="preserve"> from home study or independent study qualify for the program’s services?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38E462DE" w14:textId="77777777" w:rsidR="003749C0" w:rsidRPr="00C62BE2" w:rsidRDefault="003749C0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2CB1BC29" w14:textId="0A2944BE" w:rsidR="003749C0" w:rsidRDefault="003749C0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866E5B">
              <w:rPr>
                <w:rFonts w:ascii="Arial" w:hAnsi="Arial" w:cs="Arial"/>
              </w:rPr>
              <w:t xml:space="preserve">18  </w:t>
            </w:r>
            <w:r w:rsidR="00151613">
              <w:rPr>
                <w:rFonts w:ascii="Arial" w:hAnsi="Arial" w:cs="Arial"/>
              </w:rPr>
              <w:t>Yes</w:t>
            </w:r>
            <w:r w:rsidR="00F05B1E">
              <w:rPr>
                <w:rFonts w:ascii="Arial" w:hAnsi="Arial" w:cs="Arial"/>
              </w:rPr>
              <w:t>; as long as the</w:t>
            </w:r>
            <w:r>
              <w:rPr>
                <w:rFonts w:ascii="Arial" w:hAnsi="Arial" w:cs="Arial"/>
              </w:rPr>
              <w:t xml:space="preserve"> diploma was issu</w:t>
            </w:r>
            <w:r w:rsidR="00F05B1E">
              <w:rPr>
                <w:rFonts w:ascii="Arial" w:hAnsi="Arial" w:cs="Arial"/>
              </w:rPr>
              <w:t xml:space="preserve">ed by </w:t>
            </w:r>
            <w:r w:rsidR="00ED3D52">
              <w:rPr>
                <w:rFonts w:ascii="Arial" w:hAnsi="Arial" w:cs="Arial"/>
              </w:rPr>
              <w:t>an </w:t>
            </w:r>
            <w:r w:rsidR="00151613">
              <w:rPr>
                <w:rFonts w:ascii="Arial" w:hAnsi="Arial" w:cs="Arial"/>
              </w:rPr>
              <w:t>accredited school</w:t>
            </w:r>
            <w:r>
              <w:rPr>
                <w:rFonts w:ascii="Arial" w:hAnsi="Arial" w:cs="Arial"/>
              </w:rPr>
              <w:t>.</w:t>
            </w:r>
          </w:p>
          <w:p w14:paraId="398C3EBF" w14:textId="77777777" w:rsidR="003749C0" w:rsidRPr="00A71D96" w:rsidRDefault="003749C0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544FF4A9" w14:textId="33A22A5B" w:rsidR="00B10FE7" w:rsidRPr="00041B32" w:rsidRDefault="00B10FE7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</w:rPr>
              <w:t xml:space="preserve">  Is t</w:t>
            </w:r>
            <w:r w:rsidR="00E405F9">
              <w:rPr>
                <w:rFonts w:ascii="Arial" w:hAnsi="Arial" w:cs="Arial"/>
              </w:rPr>
              <w:t xml:space="preserve">here a minimum amount of time </w:t>
            </w:r>
            <w:r>
              <w:rPr>
                <w:rFonts w:ascii="Arial" w:hAnsi="Arial" w:cs="Arial"/>
              </w:rPr>
              <w:t xml:space="preserve">youth need </w:t>
            </w:r>
            <w:r w:rsidR="00E405F9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participate in the program before </w:t>
            </w:r>
            <w:r w:rsidR="00A52E05">
              <w:rPr>
                <w:rFonts w:ascii="Arial" w:hAnsi="Arial" w:cs="Arial"/>
              </w:rPr>
              <w:t>they</w:t>
            </w:r>
            <w:r>
              <w:rPr>
                <w:rFonts w:ascii="Arial" w:hAnsi="Arial" w:cs="Arial"/>
              </w:rPr>
              <w:t xml:space="preserve"> can exit?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1A69D7FB" w14:textId="77777777" w:rsidR="00B10FE7" w:rsidRPr="00C62BE2" w:rsidRDefault="00B10FE7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698F70D4" w14:textId="7DFF093B" w:rsidR="00B10FE7" w:rsidRDefault="00B10FE7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19  </w:t>
            </w:r>
            <w:r w:rsidR="00866E5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hen all element</w:t>
            </w:r>
            <w:r w:rsidR="00E405F9">
              <w:rPr>
                <w:rFonts w:ascii="Arial" w:hAnsi="Arial" w:cs="Arial"/>
              </w:rPr>
              <w:t>s of the provider’s program are </w:t>
            </w:r>
            <w:r>
              <w:rPr>
                <w:rFonts w:ascii="Arial" w:hAnsi="Arial" w:cs="Arial"/>
              </w:rPr>
              <w:t xml:space="preserve">appropriately </w:t>
            </w:r>
            <w:r w:rsidR="00BB4F35">
              <w:rPr>
                <w:rFonts w:ascii="Arial" w:hAnsi="Arial" w:cs="Arial"/>
              </w:rPr>
              <w:t xml:space="preserve">met, then </w:t>
            </w:r>
            <w:r w:rsidR="0080576A">
              <w:rPr>
                <w:rFonts w:ascii="Arial" w:hAnsi="Arial" w:cs="Arial"/>
              </w:rPr>
              <w:t xml:space="preserve">the </w:t>
            </w:r>
            <w:r w:rsidR="00BB4F35">
              <w:rPr>
                <w:rFonts w:ascii="Arial" w:hAnsi="Arial" w:cs="Arial"/>
              </w:rPr>
              <w:t xml:space="preserve">youth can be exited. </w:t>
            </w:r>
            <w:r w:rsidR="0080576A">
              <w:rPr>
                <w:rFonts w:ascii="Arial" w:hAnsi="Arial" w:cs="Arial"/>
              </w:rPr>
              <w:t xml:space="preserve">The </w:t>
            </w:r>
            <w:r w:rsidR="00E405F9">
              <w:rPr>
                <w:rFonts w:ascii="Arial" w:hAnsi="Arial" w:cs="Arial"/>
              </w:rPr>
              <w:t>Program Year is a one</w:t>
            </w:r>
            <w:r w:rsidR="00E405F9">
              <w:rPr>
                <w:rFonts w:ascii="Arial" w:hAnsi="Arial" w:cs="Arial"/>
              </w:rPr>
              <w:noBreakHyphen/>
              <w:t>year </w:t>
            </w:r>
            <w:r>
              <w:rPr>
                <w:rFonts w:ascii="Arial" w:hAnsi="Arial" w:cs="Arial"/>
              </w:rPr>
              <w:t>t</w:t>
            </w:r>
            <w:r w:rsidR="0080576A">
              <w:rPr>
                <w:rFonts w:ascii="Arial" w:hAnsi="Arial" w:cs="Arial"/>
              </w:rPr>
              <w:t>imeframe, July 1 –  June </w:t>
            </w:r>
            <w:r w:rsidR="00BB4F35">
              <w:rPr>
                <w:rFonts w:ascii="Arial" w:hAnsi="Arial" w:cs="Arial"/>
              </w:rPr>
              <w:t xml:space="preserve">30. </w:t>
            </w:r>
            <w:r w:rsidR="00E405F9">
              <w:rPr>
                <w:rFonts w:ascii="Arial" w:hAnsi="Arial" w:cs="Arial"/>
              </w:rPr>
              <w:t>No carryover funds exist across </w:t>
            </w:r>
            <w:r>
              <w:rPr>
                <w:rFonts w:ascii="Arial" w:hAnsi="Arial" w:cs="Arial"/>
              </w:rPr>
              <w:t>program years.</w:t>
            </w:r>
          </w:p>
          <w:p w14:paraId="3EE85B25" w14:textId="77777777" w:rsidR="00B10FE7" w:rsidRPr="00A71D96" w:rsidRDefault="00B10FE7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72FD6405" w14:textId="77777777" w:rsidR="00B4651B" w:rsidRPr="00041B32" w:rsidRDefault="00B4651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90101A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</w:rPr>
              <w:t xml:space="preserve">  Is the </w:t>
            </w:r>
            <w:r w:rsidR="00DB6804">
              <w:rPr>
                <w:rFonts w:ascii="Arial" w:hAnsi="Arial" w:cs="Arial"/>
              </w:rPr>
              <w:t>aim for</w:t>
            </w:r>
            <w:r>
              <w:rPr>
                <w:rFonts w:ascii="Arial" w:hAnsi="Arial" w:cs="Arial"/>
              </w:rPr>
              <w:t xml:space="preserve"> 300 paid work hours (average) a negotiable goal?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7DF2FBE3" w14:textId="77777777" w:rsidR="00B4651B" w:rsidRPr="00C62BE2" w:rsidRDefault="00B4651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6DB63F34" w14:textId="1DD14373" w:rsidR="00B4651B" w:rsidRDefault="00B4651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90101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T</w:t>
            </w:r>
            <w:r w:rsidR="00653CB8">
              <w:rPr>
                <w:rFonts w:ascii="Arial" w:hAnsi="Arial" w:cs="Arial"/>
              </w:rPr>
              <w:t>he number of hours for planned work ex</w:t>
            </w:r>
            <w:r w:rsidR="00BB4F35">
              <w:rPr>
                <w:rFonts w:ascii="Arial" w:hAnsi="Arial" w:cs="Arial"/>
              </w:rPr>
              <w:t xml:space="preserve">perience is up to the provider. </w:t>
            </w:r>
            <w:r w:rsidR="00866E5B">
              <w:rPr>
                <w:rFonts w:ascii="Arial" w:hAnsi="Arial" w:cs="Arial"/>
              </w:rPr>
              <w:t>Generally, the </w:t>
            </w:r>
            <w:r w:rsidR="00653CB8">
              <w:rPr>
                <w:rFonts w:ascii="Arial" w:hAnsi="Arial" w:cs="Arial"/>
              </w:rPr>
              <w:t xml:space="preserve">standard is at least six weeks </w:t>
            </w:r>
            <w:r w:rsidR="002C22FC">
              <w:rPr>
                <w:rFonts w:ascii="Arial" w:hAnsi="Arial" w:cs="Arial"/>
              </w:rPr>
              <w:t xml:space="preserve">to provide </w:t>
            </w:r>
            <w:r>
              <w:rPr>
                <w:rFonts w:ascii="Arial" w:hAnsi="Arial" w:cs="Arial"/>
              </w:rPr>
              <w:t xml:space="preserve">adequate training time on the job, and </w:t>
            </w:r>
            <w:r w:rsidR="00866E5B">
              <w:rPr>
                <w:rFonts w:ascii="Arial" w:hAnsi="Arial" w:cs="Arial"/>
              </w:rPr>
              <w:t>the </w:t>
            </w:r>
            <w:r w:rsidR="0080576A">
              <w:rPr>
                <w:rFonts w:ascii="Arial" w:hAnsi="Arial" w:cs="Arial"/>
              </w:rPr>
              <w:t xml:space="preserve">longer a work experience </w:t>
            </w:r>
            <w:r w:rsidR="002C22FC">
              <w:rPr>
                <w:rFonts w:ascii="Arial" w:hAnsi="Arial" w:cs="Arial"/>
              </w:rPr>
              <w:t xml:space="preserve">opportunity </w:t>
            </w:r>
            <w:r w:rsidR="0080576A">
              <w:rPr>
                <w:rFonts w:ascii="Arial" w:hAnsi="Arial" w:cs="Arial"/>
              </w:rPr>
              <w:t xml:space="preserve">lasts </w:t>
            </w:r>
            <w:r w:rsidR="00A52E05">
              <w:rPr>
                <w:rFonts w:ascii="Arial" w:hAnsi="Arial" w:cs="Arial"/>
              </w:rPr>
              <w:t>improves</w:t>
            </w:r>
            <w:r>
              <w:rPr>
                <w:rFonts w:ascii="Arial" w:hAnsi="Arial" w:cs="Arial"/>
              </w:rPr>
              <w:t xml:space="preserve"> retention outcomes.</w:t>
            </w:r>
          </w:p>
          <w:p w14:paraId="03A3A4F5" w14:textId="77777777" w:rsidR="00B204DE" w:rsidRPr="00D512FB" w:rsidRDefault="00B204DE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b/>
                <w:sz w:val="28"/>
              </w:rPr>
            </w:pPr>
          </w:p>
          <w:p w14:paraId="37FBF03E" w14:textId="77777777" w:rsidR="006966BB" w:rsidRPr="00041B32" w:rsidRDefault="006966B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90101A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</w:rPr>
              <w:t xml:space="preserve">  Is there a way to ask additional questions that may come up </w:t>
            </w:r>
            <w:r w:rsidR="00647232">
              <w:rPr>
                <w:rFonts w:ascii="Arial" w:hAnsi="Arial" w:cs="Arial"/>
              </w:rPr>
              <w:t>when completing</w:t>
            </w:r>
            <w:r>
              <w:rPr>
                <w:rFonts w:ascii="Arial" w:hAnsi="Arial" w:cs="Arial"/>
              </w:rPr>
              <w:t xml:space="preserve"> the prequalification requirements section of the RFP?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573C5EED" w14:textId="77777777" w:rsidR="006966BB" w:rsidRPr="00C62BE2" w:rsidRDefault="006966B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2129339" w14:textId="4ED9604D" w:rsidR="006966BB" w:rsidRDefault="006966B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90101A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  </w:t>
            </w:r>
            <w:r w:rsidR="00866E5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roposers should complete Section III carefully after reading the </w:t>
            </w:r>
            <w:r w:rsidR="00C827E7">
              <w:rPr>
                <w:rFonts w:ascii="Arial" w:hAnsi="Arial" w:cs="Arial"/>
              </w:rPr>
              <w:t xml:space="preserve">instruction pages. </w:t>
            </w:r>
            <w:r w:rsidR="00866E5B">
              <w:rPr>
                <w:rFonts w:ascii="Arial" w:hAnsi="Arial" w:cs="Arial"/>
              </w:rPr>
              <w:t>As </w:t>
            </w:r>
            <w:r>
              <w:rPr>
                <w:rFonts w:ascii="Arial" w:hAnsi="Arial" w:cs="Arial"/>
              </w:rPr>
              <w:t>questions arise, note them to the side</w:t>
            </w:r>
            <w:r w:rsidR="00866E5B">
              <w:rPr>
                <w:rFonts w:ascii="Arial" w:hAnsi="Arial" w:cs="Arial"/>
              </w:rPr>
              <w:t xml:space="preserve"> and contact Corey Lagbao, Prequalification,</w:t>
            </w:r>
            <w:r>
              <w:rPr>
                <w:rFonts w:ascii="Arial" w:hAnsi="Arial" w:cs="Arial"/>
              </w:rPr>
              <w:t xml:space="preserve"> to go over the answers at on</w:t>
            </w:r>
            <w:r w:rsidR="00BB4F35">
              <w:rPr>
                <w:rFonts w:ascii="Arial" w:hAnsi="Arial" w:cs="Arial"/>
              </w:rPr>
              <w:t xml:space="preserve">e time. </w:t>
            </w:r>
            <w:r w:rsidR="00C827E7">
              <w:rPr>
                <w:rFonts w:ascii="Arial" w:hAnsi="Arial" w:cs="Arial"/>
              </w:rPr>
              <w:t>This can be done via e</w:t>
            </w:r>
            <w:r w:rsidR="00C827E7">
              <w:rPr>
                <w:rFonts w:ascii="Arial" w:hAnsi="Arial" w:cs="Arial"/>
              </w:rPr>
              <w:noBreakHyphen/>
            </w:r>
            <w:r>
              <w:rPr>
                <w:rFonts w:ascii="Arial" w:hAnsi="Arial" w:cs="Arial"/>
              </w:rPr>
              <w:t>mail or by phone, keeping in mind the submission date of 4:00 p.m., Thursday, February 28, 2019.</w:t>
            </w:r>
          </w:p>
          <w:p w14:paraId="5DA6C57A" w14:textId="77777777" w:rsidR="006966BB" w:rsidRPr="006966BB" w:rsidRDefault="006966B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61F2B601" w14:textId="77777777" w:rsidR="00DB1AEB" w:rsidRPr="00041B32" w:rsidRDefault="00DB1AE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 w:rsidR="0090101A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</w:rPr>
              <w:t xml:space="preserve">  On the Cover Page in Section IV, what</w:t>
            </w:r>
            <w:r w:rsidR="00C827E7">
              <w:rPr>
                <w:rFonts w:ascii="Arial" w:hAnsi="Arial" w:cs="Arial"/>
              </w:rPr>
              <w:t xml:space="preserve"> number should be in the “Total # </w:t>
            </w:r>
            <w:r>
              <w:rPr>
                <w:rFonts w:ascii="Arial" w:hAnsi="Arial" w:cs="Arial"/>
              </w:rPr>
              <w:t>Served” box?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373D38A7" w14:textId="77777777" w:rsidR="00DB1AEB" w:rsidRPr="00C62BE2" w:rsidRDefault="00DB1AE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2B334E9" w14:textId="45204115" w:rsidR="00DB1AEB" w:rsidRPr="006966BB" w:rsidRDefault="00DB1AE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2</w:t>
            </w:r>
            <w:r w:rsidR="0090101A">
              <w:rPr>
                <w:rFonts w:ascii="Arial" w:hAnsi="Arial" w:cs="Arial"/>
              </w:rPr>
              <w:t>2</w:t>
            </w:r>
            <w:r w:rsidR="00866E5B">
              <w:rPr>
                <w:rFonts w:ascii="Arial" w:hAnsi="Arial" w:cs="Arial"/>
              </w:rPr>
              <w:t>  T</w:t>
            </w:r>
            <w:r>
              <w:rPr>
                <w:rFonts w:ascii="Arial" w:hAnsi="Arial" w:cs="Arial"/>
              </w:rPr>
              <w:t xml:space="preserve">he number </w:t>
            </w:r>
            <w:r w:rsidR="002C22FC">
              <w:rPr>
                <w:rFonts w:ascii="Arial" w:hAnsi="Arial" w:cs="Arial"/>
              </w:rPr>
              <w:t>of youth</w:t>
            </w:r>
            <w:r w:rsidR="00E21E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served </w:t>
            </w:r>
            <w:r w:rsidR="00E21E2E">
              <w:rPr>
                <w:rFonts w:ascii="Arial" w:hAnsi="Arial" w:cs="Arial"/>
              </w:rPr>
              <w:t>during</w:t>
            </w:r>
            <w:r>
              <w:rPr>
                <w:rFonts w:ascii="Arial" w:hAnsi="Arial" w:cs="Arial"/>
              </w:rPr>
              <w:t xml:space="preserve"> the one y</w:t>
            </w:r>
            <w:r w:rsidR="00C827E7">
              <w:rPr>
                <w:rFonts w:ascii="Arial" w:hAnsi="Arial" w:cs="Arial"/>
              </w:rPr>
              <w:t xml:space="preserve">ear program should be entered. </w:t>
            </w:r>
          </w:p>
          <w:p w14:paraId="7001AB1A" w14:textId="77777777" w:rsidR="006966BB" w:rsidRDefault="006966B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B0E0A32" w14:textId="749196FA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</w:rPr>
              <w:t xml:space="preserve">  When we’re completing the Demographic Chart can we </w:t>
            </w:r>
            <w:r w:rsidR="00E21E2E">
              <w:rPr>
                <w:rFonts w:ascii="Arial" w:hAnsi="Arial" w:cs="Arial"/>
              </w:rPr>
              <w:t>list more than one ethnic group</w:t>
            </w:r>
            <w:r>
              <w:rPr>
                <w:rFonts w:ascii="Arial" w:hAnsi="Arial" w:cs="Arial"/>
              </w:rPr>
              <w:t xml:space="preserve"> under the other column?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34A9DC7B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737C3CFD" w14:textId="2E99516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23  </w:t>
            </w:r>
            <w:r w:rsidR="00866E5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ther ethnic groups to be served</w:t>
            </w:r>
            <w:r w:rsidR="00866E5B">
              <w:rPr>
                <w:rFonts w:ascii="Arial" w:hAnsi="Arial" w:cs="Arial"/>
              </w:rPr>
              <w:t xml:space="preserve"> can be listed</w:t>
            </w:r>
            <w:r w:rsidR="00E21E2E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however, proposers should focus on high-risk zip codes and identified youth populations put forth in the grant to provide services based on </w:t>
            </w:r>
            <w:r w:rsidR="00A52E05">
              <w:rPr>
                <w:rFonts w:ascii="Arial" w:hAnsi="Arial" w:cs="Arial"/>
              </w:rPr>
              <w:t>their</w:t>
            </w:r>
            <w:r>
              <w:rPr>
                <w:rFonts w:ascii="Arial" w:hAnsi="Arial" w:cs="Arial"/>
              </w:rPr>
              <w:t xml:space="preserve"> program design.</w:t>
            </w:r>
          </w:p>
          <w:p w14:paraId="003C9BBE" w14:textId="4AD4A95E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5B7269E4" w14:textId="77777777" w:rsidR="00866E5B" w:rsidRPr="006966BB" w:rsidRDefault="00866E5B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302F75CE" w14:textId="77777777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24</w:t>
            </w:r>
            <w:r>
              <w:rPr>
                <w:rFonts w:ascii="Arial" w:hAnsi="Arial" w:cs="Arial"/>
              </w:rPr>
              <w:t xml:space="preserve">  Are undocumented out-of-school youth eligible to participate in the program?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27C73901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20E2A312" w14:textId="2B73C18A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24  Right to Work (RTW) documents (i.e., valid U.S. passpo</w:t>
            </w:r>
            <w:r w:rsidR="00805847">
              <w:rPr>
                <w:rFonts w:ascii="Arial" w:hAnsi="Arial" w:cs="Arial"/>
              </w:rPr>
              <w:t>rt, CA driver’s license, social </w:t>
            </w:r>
            <w:r>
              <w:rPr>
                <w:rFonts w:ascii="Arial" w:hAnsi="Arial" w:cs="Arial"/>
              </w:rPr>
              <w:t xml:space="preserve">security number, naturalization papers, etc.) </w:t>
            </w:r>
            <w:r w:rsidR="00172AED">
              <w:rPr>
                <w:rFonts w:ascii="Arial" w:hAnsi="Arial" w:cs="Arial"/>
              </w:rPr>
              <w:t>are </w:t>
            </w:r>
            <w:r>
              <w:rPr>
                <w:rFonts w:ascii="Arial" w:hAnsi="Arial" w:cs="Arial"/>
              </w:rPr>
              <w:t>required to legally work. Undocumented youth</w:t>
            </w:r>
            <w:r w:rsidR="00172AED">
              <w:rPr>
                <w:rFonts w:ascii="Arial" w:hAnsi="Arial" w:cs="Arial"/>
              </w:rPr>
              <w:t xml:space="preserve"> who do not possess RTW documentation</w:t>
            </w:r>
            <w:r>
              <w:rPr>
                <w:rFonts w:ascii="Arial" w:hAnsi="Arial" w:cs="Arial"/>
              </w:rPr>
              <w:t xml:space="preserve"> </w:t>
            </w:r>
            <w:r w:rsidR="00765366">
              <w:rPr>
                <w:rFonts w:ascii="Arial" w:hAnsi="Arial" w:cs="Arial"/>
              </w:rPr>
              <w:t>are ineligible to</w:t>
            </w:r>
            <w:r w:rsidR="00172AE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participate in the program.</w:t>
            </w:r>
          </w:p>
          <w:p w14:paraId="3196BCDC" w14:textId="77777777" w:rsidR="009B05D1" w:rsidRPr="006966BB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7ED81D28" w14:textId="77777777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</w:rPr>
              <w:t xml:space="preserve">  Are there limits on how many words can be used to answer a question, or how many pages the proposal can be?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43E3948C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0CC69302" w14:textId="5D2CFE95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805847">
              <w:rPr>
                <w:rFonts w:ascii="Arial" w:hAnsi="Arial" w:cs="Arial"/>
              </w:rPr>
              <w:t>25  No</w:t>
            </w:r>
            <w:r>
              <w:rPr>
                <w:rFonts w:ascii="Arial" w:hAnsi="Arial" w:cs="Arial"/>
              </w:rPr>
              <w:t>; answers and proposal pages are open ended.</w:t>
            </w:r>
          </w:p>
          <w:p w14:paraId="39026687" w14:textId="77777777" w:rsidR="009B05D1" w:rsidRPr="006966BB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2C2428BA" w14:textId="3D894522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</w:rPr>
              <w:t xml:space="preserve">  As a practical matter, how precise should references of supporting statistical data or any other sources be in the proposal?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023B3FB1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36070DCB" w14:textId="24040634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805847">
              <w:rPr>
                <w:rFonts w:ascii="Arial" w:hAnsi="Arial" w:cs="Arial"/>
              </w:rPr>
              <w:t xml:space="preserve">26  </w:t>
            </w:r>
            <w:r w:rsidR="00AA263C">
              <w:rPr>
                <w:rFonts w:ascii="Arial" w:hAnsi="Arial" w:cs="Arial"/>
              </w:rPr>
              <w:t>Formal</w:t>
            </w:r>
            <w:r>
              <w:rPr>
                <w:rFonts w:ascii="Arial" w:hAnsi="Arial" w:cs="Arial"/>
              </w:rPr>
              <w:t xml:space="preserve"> footnoting formats are not required. However, the proposer must annotate </w:t>
            </w:r>
            <w:r w:rsidR="00E21E2E">
              <w:rPr>
                <w:rFonts w:ascii="Arial" w:hAnsi="Arial" w:cs="Arial"/>
              </w:rPr>
              <w:t xml:space="preserve">when and </w:t>
            </w:r>
            <w:r>
              <w:rPr>
                <w:rFonts w:ascii="Arial" w:hAnsi="Arial" w:cs="Arial"/>
              </w:rPr>
              <w:t>where a reference occurs in the proposa</w:t>
            </w:r>
            <w:r w:rsidR="00E21E2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and</w:t>
            </w:r>
            <w:r w:rsidR="00805847">
              <w:rPr>
                <w:rFonts w:ascii="Arial" w:hAnsi="Arial" w:cs="Arial"/>
              </w:rPr>
              <w:t xml:space="preserve"> detail all sources of </w:t>
            </w:r>
            <w:r>
              <w:rPr>
                <w:rFonts w:ascii="Arial" w:hAnsi="Arial" w:cs="Arial"/>
              </w:rPr>
              <w:t>statistical data and printed or electronic media information quoted in the proposal.</w:t>
            </w:r>
          </w:p>
          <w:p w14:paraId="47A8E9D5" w14:textId="77777777" w:rsidR="009B05D1" w:rsidRPr="006966BB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361F6CFE" w14:textId="46438846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27</w:t>
            </w:r>
            <w:r>
              <w:rPr>
                <w:rFonts w:ascii="Arial" w:hAnsi="Arial" w:cs="Arial"/>
              </w:rPr>
              <w:t xml:space="preserve">  Will a provider be dinged for delivering a course of training </w:t>
            </w:r>
            <w:r w:rsidR="002C14FE"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</w:rPr>
              <w:t xml:space="preserve"> does not result in employment for a particular youth who is uncertain or unprepared?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6EA5133A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DDF98CC" w14:textId="72777048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27  </w:t>
            </w:r>
            <w:r w:rsidR="0080584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provider should practice techniques that evaluate the paths a participant might take to obtain a job, return to school, or enhance their personal/soc</w:t>
            </w:r>
            <w:r w:rsidR="00805847">
              <w:rPr>
                <w:rFonts w:ascii="Arial" w:hAnsi="Arial" w:cs="Arial"/>
              </w:rPr>
              <w:t>ial skills.  T</w:t>
            </w:r>
            <w:r>
              <w:rPr>
                <w:rFonts w:ascii="Arial" w:hAnsi="Arial" w:cs="Arial"/>
              </w:rPr>
              <w:t>he desired outcome of employment requires substantial work</w:t>
            </w:r>
            <w:r w:rsidR="002C14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but the ultimate goal remains career opportunities for the youth. Other positive results are a part of successful training and are not punitive to the provider.</w:t>
            </w:r>
          </w:p>
          <w:p w14:paraId="15F5A659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0BFB6ED0" w14:textId="61DA0CA0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28</w:t>
            </w:r>
            <w:r>
              <w:rPr>
                <w:rFonts w:ascii="Arial" w:hAnsi="Arial" w:cs="Arial"/>
              </w:rPr>
              <w:t xml:space="preserve">  How detailed does the overall training plan and/or each part of the plan need to be?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47D6EA2B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1AE24DD6" w14:textId="2EB0F0A2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805847">
              <w:rPr>
                <w:rFonts w:ascii="Arial" w:hAnsi="Arial" w:cs="Arial"/>
              </w:rPr>
              <w:t>28  T</w:t>
            </w:r>
            <w:r>
              <w:rPr>
                <w:rFonts w:ascii="Arial" w:hAnsi="Arial" w:cs="Arial"/>
              </w:rPr>
              <w:t>he propose</w:t>
            </w:r>
            <w:r w:rsidR="00E21E2E">
              <w:rPr>
                <w:rFonts w:ascii="Arial" w:hAnsi="Arial" w:cs="Arial"/>
              </w:rPr>
              <w:t xml:space="preserve">rs </w:t>
            </w:r>
            <w:r w:rsidR="00805847">
              <w:rPr>
                <w:rFonts w:ascii="Arial" w:hAnsi="Arial" w:cs="Arial"/>
              </w:rPr>
              <w:t xml:space="preserve">were referred </w:t>
            </w:r>
            <w:r w:rsidR="00E21E2E">
              <w:rPr>
                <w:rFonts w:ascii="Arial" w:hAnsi="Arial" w:cs="Arial"/>
              </w:rPr>
              <w:t>to Page 91</w:t>
            </w:r>
            <w:r w:rsidR="00805847">
              <w:rPr>
                <w:rFonts w:ascii="Arial" w:hAnsi="Arial" w:cs="Arial"/>
              </w:rPr>
              <w:t>,</w:t>
            </w:r>
            <w:r w:rsidR="00E21E2E">
              <w:rPr>
                <w:rFonts w:ascii="Arial" w:hAnsi="Arial" w:cs="Arial"/>
              </w:rPr>
              <w:t xml:space="preserve"> Section IV</w:t>
            </w:r>
            <w:r w:rsidR="00805847">
              <w:rPr>
                <w:rFonts w:ascii="Arial" w:hAnsi="Arial" w:cs="Arial"/>
              </w:rPr>
              <w:t>,</w:t>
            </w:r>
            <w:r w:rsidR="00E21E2E">
              <w:rPr>
                <w:rFonts w:ascii="Arial" w:hAnsi="Arial" w:cs="Arial"/>
              </w:rPr>
              <w:t xml:space="preserve"> </w:t>
            </w:r>
            <w:r w:rsidR="00805847">
              <w:rPr>
                <w:rFonts w:ascii="Arial" w:hAnsi="Arial" w:cs="Arial"/>
              </w:rPr>
              <w:t xml:space="preserve">to use </w:t>
            </w:r>
            <w:r w:rsidR="00E21E2E">
              <w:rPr>
                <w:rFonts w:ascii="Arial" w:hAnsi="Arial" w:cs="Arial"/>
              </w:rPr>
              <w:t>as the</w:t>
            </w:r>
            <w:r>
              <w:rPr>
                <w:rFonts w:ascii="Arial" w:hAnsi="Arial" w:cs="Arial"/>
              </w:rPr>
              <w:t xml:space="preserve"> guide to layout the</w:t>
            </w:r>
            <w:r w:rsidR="00805847">
              <w:rPr>
                <w:rFonts w:ascii="Arial" w:hAnsi="Arial" w:cs="Arial"/>
              </w:rPr>
              <w:t>ir </w:t>
            </w:r>
            <w:r>
              <w:rPr>
                <w:rFonts w:ascii="Arial" w:hAnsi="Arial" w:cs="Arial"/>
              </w:rPr>
              <w:t>objectives and specifics for their training plan.</w:t>
            </w:r>
          </w:p>
          <w:p w14:paraId="76D0D8E4" w14:textId="77777777" w:rsidR="00E21E2E" w:rsidRPr="00453952" w:rsidRDefault="00E21E2E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451D8DFA" w14:textId="77777777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29</w:t>
            </w:r>
            <w:r>
              <w:rPr>
                <w:rFonts w:ascii="Arial" w:hAnsi="Arial" w:cs="Arial"/>
              </w:rPr>
              <w:t xml:space="preserve">  Should a course curriculum for the training be attached to the proposal?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19DC8012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3B29FA9F" w14:textId="4F043CE1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29  </w:t>
            </w:r>
            <w:r w:rsidR="00805847">
              <w:rPr>
                <w:rFonts w:ascii="Arial" w:hAnsi="Arial" w:cs="Arial"/>
              </w:rPr>
              <w:t>This</w:t>
            </w:r>
            <w:r w:rsidR="00AA263C">
              <w:rPr>
                <w:rFonts w:ascii="Arial" w:hAnsi="Arial" w:cs="Arial"/>
              </w:rPr>
              <w:t xml:space="preserve"> could be done; however, </w:t>
            </w:r>
            <w:r>
              <w:rPr>
                <w:rFonts w:ascii="Arial" w:hAnsi="Arial" w:cs="Arial"/>
              </w:rPr>
              <w:t xml:space="preserve">proposers must still describe their course of training and work elements in the proposal. When the proposer uses an existing course of training, then a curriculum outline should be </w:t>
            </w:r>
            <w:r w:rsidR="00C8738A">
              <w:rPr>
                <w:rFonts w:ascii="Arial" w:hAnsi="Arial" w:cs="Arial"/>
              </w:rPr>
              <w:t>attach</w:t>
            </w:r>
            <w:r>
              <w:rPr>
                <w:rFonts w:ascii="Arial" w:hAnsi="Arial" w:cs="Arial"/>
              </w:rPr>
              <w:t>ed</w:t>
            </w:r>
            <w:r w:rsidR="00C8738A">
              <w:rPr>
                <w:rFonts w:ascii="Arial" w:hAnsi="Arial" w:cs="Arial"/>
              </w:rPr>
              <w:t xml:space="preserve"> to the proposal</w:t>
            </w:r>
            <w:r>
              <w:rPr>
                <w:rFonts w:ascii="Arial" w:hAnsi="Arial" w:cs="Arial"/>
              </w:rPr>
              <w:t>.</w:t>
            </w:r>
          </w:p>
          <w:p w14:paraId="0A5C0E71" w14:textId="77777777" w:rsidR="00172AED" w:rsidRPr="00453952" w:rsidRDefault="00172AED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08A2B5FC" w14:textId="77777777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</w:rPr>
              <w:t xml:space="preserve">  How much documentation and information is needed to demonstrate former effectiveness with a partner or other agencies – scope of activities, formal MOUs, other?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652C291C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6A320996" w14:textId="54C443A9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30  </w:t>
            </w:r>
            <w:r w:rsidR="00CF7F84">
              <w:rPr>
                <w:rFonts w:ascii="Arial" w:hAnsi="Arial" w:cs="Arial"/>
              </w:rPr>
              <w:t>Documentation that demonstrates</w:t>
            </w:r>
            <w:r>
              <w:rPr>
                <w:rFonts w:ascii="Arial" w:hAnsi="Arial" w:cs="Arial"/>
              </w:rPr>
              <w:t xml:space="preserve"> and </w:t>
            </w:r>
            <w:r w:rsidR="00CF7F84">
              <w:rPr>
                <w:rFonts w:ascii="Arial" w:hAnsi="Arial" w:cs="Arial"/>
              </w:rPr>
              <w:t>explains</w:t>
            </w:r>
            <w:r>
              <w:rPr>
                <w:rFonts w:ascii="Arial" w:hAnsi="Arial" w:cs="Arial"/>
              </w:rPr>
              <w:t xml:space="preserve"> an association with a former or current partner could be submitted with the proposal. The documents or descriptions should include how long the partners have worked together, </w:t>
            </w:r>
            <w:r w:rsidR="000E1BB6">
              <w:rPr>
                <w:rFonts w:ascii="Arial" w:hAnsi="Arial" w:cs="Arial"/>
              </w:rPr>
              <w:t xml:space="preserve">details about </w:t>
            </w:r>
            <w:r>
              <w:rPr>
                <w:rFonts w:ascii="Arial" w:hAnsi="Arial" w:cs="Arial"/>
              </w:rPr>
              <w:t xml:space="preserve">the </w:t>
            </w:r>
            <w:r w:rsidR="000E1BB6">
              <w:rPr>
                <w:rFonts w:ascii="Arial" w:hAnsi="Arial" w:cs="Arial"/>
              </w:rPr>
              <w:t>specific work roles/responsibilities</w:t>
            </w:r>
            <w:r>
              <w:rPr>
                <w:rFonts w:ascii="Arial" w:hAnsi="Arial" w:cs="Arial"/>
              </w:rPr>
              <w:t>, and the outcomes of the partnership.</w:t>
            </w:r>
          </w:p>
          <w:p w14:paraId="1CA6A758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406EAB5E" w14:textId="139786C9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31</w:t>
            </w:r>
            <w:r>
              <w:rPr>
                <w:rFonts w:ascii="Arial" w:hAnsi="Arial" w:cs="Arial"/>
              </w:rPr>
              <w:t xml:space="preserve">  Is the only benchmark for provider performance “Exited and Employment”, or are enrollments and completions of the program considered?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70B10B2A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306382D" w14:textId="590F713E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CF7F84">
              <w:rPr>
                <w:rFonts w:ascii="Arial" w:hAnsi="Arial" w:cs="Arial"/>
              </w:rPr>
              <w:t>31  E</w:t>
            </w:r>
            <w:r>
              <w:rPr>
                <w:rFonts w:ascii="Arial" w:hAnsi="Arial" w:cs="Arial"/>
              </w:rPr>
              <w:t>xited participants who become employed is a performance measure that stretches past the end of the provider’s program year. C</w:t>
            </w:r>
            <w:r w:rsidR="004947D8">
              <w:rPr>
                <w:rFonts w:ascii="Arial" w:hAnsi="Arial" w:cs="Arial"/>
              </w:rPr>
              <w:t>oncentrated efforts </w:t>
            </w:r>
            <w:r>
              <w:rPr>
                <w:rFonts w:ascii="Arial" w:hAnsi="Arial" w:cs="Arial"/>
              </w:rPr>
              <w:t>to recruit, train, employ and enhance Out-of-School at</w:t>
            </w:r>
            <w:r>
              <w:rPr>
                <w:rFonts w:ascii="Arial" w:hAnsi="Arial" w:cs="Arial"/>
              </w:rPr>
              <w:noBreakHyphen/>
              <w:t>risk youth are the provider</w:t>
            </w:r>
            <w:r w:rsidR="004947D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benchmarks based on their one</w:t>
            </w:r>
            <w:r>
              <w:rPr>
                <w:rFonts w:ascii="Arial" w:hAnsi="Arial" w:cs="Arial"/>
              </w:rPr>
              <w:noBreakHyphen/>
              <w:t>year program.</w:t>
            </w:r>
          </w:p>
          <w:p w14:paraId="13B03DC8" w14:textId="2A2A7ADA" w:rsidR="00CF7F84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3AB7C5F4" w14:textId="3731E36E" w:rsidR="004E1118" w:rsidRDefault="004E1118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0FEEB8DF" w14:textId="77777777" w:rsidR="004E1118" w:rsidRDefault="004E1118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6BAE1412" w14:textId="371A8C69" w:rsidR="009B05D1" w:rsidRPr="00041B3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  <w:b/>
              </w:rPr>
              <w:t>Q</w:t>
            </w:r>
            <w:r>
              <w:rPr>
                <w:rFonts w:ascii="Arial" w:hAnsi="Arial" w:cs="Arial"/>
                <w:b/>
              </w:rPr>
              <w:t>32</w:t>
            </w:r>
            <w:r>
              <w:rPr>
                <w:rFonts w:ascii="Arial" w:hAnsi="Arial" w:cs="Arial"/>
              </w:rPr>
              <w:t xml:space="preserve">  Can a provider retain or carryover participants past the one-year program to increase the placement performance numbers?</w:t>
            </w:r>
            <w:r w:rsidRPr="00041B32">
              <w:rPr>
                <w:rFonts w:ascii="Arial" w:hAnsi="Arial" w:cs="Arial"/>
              </w:rPr>
              <w:t xml:space="preserve"> </w:t>
            </w:r>
          </w:p>
          <w:p w14:paraId="1044D853" w14:textId="77777777" w:rsidR="009B05D1" w:rsidRPr="00C62BE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3C2B9D47" w14:textId="110BF88B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226825">
              <w:rPr>
                <w:rFonts w:ascii="Arial" w:hAnsi="Arial" w:cs="Arial"/>
              </w:rPr>
              <w:t>A</w:t>
            </w:r>
            <w:r w:rsidR="00CF7F84">
              <w:rPr>
                <w:rFonts w:ascii="Arial" w:hAnsi="Arial" w:cs="Arial"/>
              </w:rPr>
              <w:t>32  No</w:t>
            </w:r>
            <w:r>
              <w:rPr>
                <w:rFonts w:ascii="Arial" w:hAnsi="Arial" w:cs="Arial"/>
              </w:rPr>
              <w:t xml:space="preserve">; participants are  funded </w:t>
            </w:r>
            <w:r w:rsidR="000E1BB6">
              <w:rPr>
                <w:rFonts w:ascii="Arial" w:hAnsi="Arial" w:cs="Arial"/>
              </w:rPr>
              <w:t xml:space="preserve">in one-year program intervals </w:t>
            </w:r>
            <w:r>
              <w:rPr>
                <w:rFonts w:ascii="Arial" w:hAnsi="Arial" w:cs="Arial"/>
              </w:rPr>
              <w:t xml:space="preserve"> under this grant.</w:t>
            </w:r>
            <w:r w:rsidR="007374C7">
              <w:rPr>
                <w:rFonts w:ascii="Arial" w:hAnsi="Arial" w:cs="Arial"/>
              </w:rPr>
              <w:t> If </w:t>
            </w:r>
            <w:r>
              <w:rPr>
                <w:rFonts w:ascii="Arial" w:hAnsi="Arial" w:cs="Arial"/>
              </w:rPr>
              <w:t xml:space="preserve">a participant exits the program needing to complete employment or school requirements occurring past the program’s end date, the participant </w:t>
            </w:r>
            <w:r w:rsidR="007374C7">
              <w:rPr>
                <w:rFonts w:ascii="Arial" w:hAnsi="Arial" w:cs="Arial"/>
              </w:rPr>
              <w:t>outcome is tracked in </w:t>
            </w:r>
            <w:r>
              <w:rPr>
                <w:rFonts w:ascii="Arial" w:hAnsi="Arial" w:cs="Arial"/>
              </w:rPr>
              <w:t xml:space="preserve">follow-up but he/she is not re-enrolled in the program. </w:t>
            </w:r>
            <w:r w:rsidR="007374C7">
              <w:rPr>
                <w:rFonts w:ascii="Arial" w:hAnsi="Arial" w:cs="Arial"/>
              </w:rPr>
              <w:t>During the course of the </w:t>
            </w:r>
            <w:r>
              <w:rPr>
                <w:rFonts w:ascii="Arial" w:hAnsi="Arial" w:cs="Arial"/>
              </w:rPr>
              <w:t>provider’s one-year program, there are benchmarks to meet that keep the participant’s services on track. Having met these, performance is counted for that one</w:t>
            </w:r>
            <w:r>
              <w:rPr>
                <w:rFonts w:ascii="Arial" w:hAnsi="Arial" w:cs="Arial"/>
              </w:rPr>
              <w:noBreakHyphen/>
              <w:t>year program even when it’s completed after the end date.</w:t>
            </w:r>
          </w:p>
          <w:p w14:paraId="703D7E50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0223B4E2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Q33</w:t>
            </w:r>
            <w:r>
              <w:rPr>
                <w:rFonts w:ascii="Arial" w:hAnsi="Arial" w:cs="Arial"/>
              </w:rPr>
              <w:t xml:space="preserve">  Can a proposer submit their performance in meeting SETA benchmarks where they’ve participated in another program? </w:t>
            </w:r>
          </w:p>
          <w:p w14:paraId="2EDEF248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3A018621" w14:textId="33342158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A33  Yes</w:t>
            </w:r>
            <w:r w:rsidR="009B05D1">
              <w:rPr>
                <w:rFonts w:ascii="Arial" w:hAnsi="Arial" w:cs="Arial"/>
              </w:rPr>
              <w:t>; if the proposer wishes to share prior years SETA performance data, it can be included in the proposal.</w:t>
            </w:r>
          </w:p>
          <w:p w14:paraId="678385E3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3BB456DE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Q34</w:t>
            </w:r>
            <w:r>
              <w:rPr>
                <w:rFonts w:ascii="Arial" w:hAnsi="Arial" w:cs="Arial"/>
              </w:rPr>
              <w:t xml:space="preserve">  Are weighted metrics used for a participant’s type and length of employment? </w:t>
            </w:r>
          </w:p>
          <w:p w14:paraId="107550BA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7FA6AD62" w14:textId="316F6216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A34  T</w:t>
            </w:r>
            <w:r w:rsidR="009B05D1">
              <w:rPr>
                <w:rFonts w:ascii="Arial" w:hAnsi="Arial" w:cs="Arial"/>
              </w:rPr>
              <w:t xml:space="preserve">he result of employment is always a positive outcome.  The quality of that employment is a separate measure often dependent upon circumstances </w:t>
            </w:r>
            <w:r>
              <w:rPr>
                <w:rFonts w:ascii="Arial" w:hAnsi="Arial" w:cs="Arial"/>
              </w:rPr>
              <w:t>not in the </w:t>
            </w:r>
            <w:r w:rsidR="00337CE4">
              <w:rPr>
                <w:rFonts w:ascii="Arial" w:hAnsi="Arial" w:cs="Arial"/>
              </w:rPr>
              <w:t xml:space="preserve">provider’s control. </w:t>
            </w:r>
            <w:r w:rsidR="009B05D1">
              <w:rPr>
                <w:rFonts w:ascii="Arial" w:hAnsi="Arial" w:cs="Arial"/>
              </w:rPr>
              <w:t>The goal is longer term plac</w:t>
            </w:r>
            <w:r>
              <w:rPr>
                <w:rFonts w:ascii="Arial" w:hAnsi="Arial" w:cs="Arial"/>
              </w:rPr>
              <w:t>ements offering opportunity for </w:t>
            </w:r>
            <w:r w:rsidR="009B05D1">
              <w:rPr>
                <w:rFonts w:ascii="Arial" w:hAnsi="Arial" w:cs="Arial"/>
              </w:rPr>
              <w:t>advancement and retention.</w:t>
            </w:r>
          </w:p>
          <w:p w14:paraId="3856832F" w14:textId="77777777" w:rsidR="009B05D1" w:rsidRPr="00460A02" w:rsidRDefault="009B05D1" w:rsidP="004E1118">
            <w:pPr>
              <w:shd w:val="clear" w:color="auto" w:fill="FFFFFF" w:themeFill="background1"/>
              <w:ind w:left="702" w:right="870"/>
              <w:rPr>
                <w:rFonts w:ascii="Arial" w:hAnsi="Arial" w:cs="Arial"/>
                <w:sz w:val="28"/>
              </w:rPr>
            </w:pPr>
          </w:p>
          <w:p w14:paraId="69F38234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Q35</w:t>
            </w:r>
            <w:r>
              <w:rPr>
                <w:rFonts w:ascii="Arial" w:hAnsi="Arial" w:cs="Arial"/>
              </w:rPr>
              <w:t xml:space="preserve">  Can Exhibit D, Section IV, be used next grant year if there are no updates? </w:t>
            </w:r>
          </w:p>
          <w:p w14:paraId="3DD706D1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7D2D586A" w14:textId="62BF9B54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A35  Yes</w:t>
            </w:r>
            <w:r w:rsidR="009B05D1">
              <w:rPr>
                <w:rFonts w:ascii="Arial" w:hAnsi="Arial" w:cs="Arial"/>
              </w:rPr>
              <w:t>.</w:t>
            </w:r>
          </w:p>
          <w:p w14:paraId="4FA5C834" w14:textId="77777777" w:rsidR="009B05D1" w:rsidRPr="004A0CF8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25FE49BC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Q36</w:t>
            </w:r>
            <w:r>
              <w:rPr>
                <w:rFonts w:ascii="Arial" w:hAnsi="Arial" w:cs="Arial"/>
              </w:rPr>
              <w:t xml:space="preserve">  When listing funding sources for the proposal, should the calendar year 2019 or 2020, or the program’s year, be used? </w:t>
            </w:r>
          </w:p>
          <w:p w14:paraId="275F78C8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14A94F13" w14:textId="083A919E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A36  U</w:t>
            </w:r>
            <w:r w:rsidR="009B05D1">
              <w:rPr>
                <w:rFonts w:ascii="Arial" w:hAnsi="Arial" w:cs="Arial"/>
              </w:rPr>
              <w:t>se the calendar year for listing of funding sources.</w:t>
            </w:r>
          </w:p>
          <w:p w14:paraId="3E4B4B24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698E899B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Q37</w:t>
            </w:r>
            <w:r>
              <w:rPr>
                <w:rFonts w:ascii="Arial" w:hAnsi="Arial" w:cs="Arial"/>
              </w:rPr>
              <w:t xml:space="preserve">  Must proposers use Exhibit G, Section IV, to submit their training and/or work plans for this RFP? </w:t>
            </w:r>
          </w:p>
          <w:p w14:paraId="1C41DDDF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25E97055" w14:textId="4D6B1363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A37  Yes</w:t>
            </w:r>
            <w:r w:rsidR="009B05D1">
              <w:rPr>
                <w:rFonts w:ascii="Arial" w:hAnsi="Arial" w:cs="Arial"/>
              </w:rPr>
              <w:t>; Exhibit G adds consistency to all of the submissions and provides an outline to add all information requested.</w:t>
            </w:r>
          </w:p>
          <w:p w14:paraId="70C85C4A" w14:textId="77777777" w:rsidR="00172AED" w:rsidRPr="00CF7F84" w:rsidRDefault="00172AED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32"/>
              </w:rPr>
            </w:pPr>
          </w:p>
          <w:p w14:paraId="518966B0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 w:rsidRPr="001A2CA7">
              <w:rPr>
                <w:rFonts w:ascii="Arial" w:hAnsi="Arial" w:cs="Arial"/>
                <w:b/>
              </w:rPr>
              <w:t>Q38</w:t>
            </w:r>
            <w:r w:rsidRPr="001A2CA7">
              <w:rPr>
                <w:rFonts w:ascii="Arial" w:hAnsi="Arial" w:cs="Arial"/>
              </w:rPr>
              <w:t xml:space="preserve">  What</w:t>
            </w:r>
            <w:r>
              <w:rPr>
                <w:rFonts w:ascii="Arial" w:hAnsi="Arial" w:cs="Arial"/>
              </w:rPr>
              <w:t xml:space="preserve"> documentation is needed for Indirect Costs? </w:t>
            </w:r>
          </w:p>
          <w:p w14:paraId="1F3545AE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9BEF296" w14:textId="69B8D1E0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A38  S</w:t>
            </w:r>
            <w:r w:rsidR="009B05D1" w:rsidRPr="003C5692">
              <w:rPr>
                <w:rFonts w:ascii="Arial" w:hAnsi="Arial" w:cs="Arial"/>
              </w:rPr>
              <w:t>ubmit a letter from th</w:t>
            </w:r>
            <w:r w:rsidR="009B05D1">
              <w:rPr>
                <w:rFonts w:ascii="Arial" w:hAnsi="Arial" w:cs="Arial"/>
              </w:rPr>
              <w:t>e Federal agency that issued</w:t>
            </w:r>
            <w:r w:rsidR="009B05D1" w:rsidRPr="003C5692">
              <w:rPr>
                <w:rFonts w:ascii="Arial" w:hAnsi="Arial" w:cs="Arial"/>
              </w:rPr>
              <w:t xml:space="preserve"> the ap</w:t>
            </w:r>
            <w:r>
              <w:rPr>
                <w:rFonts w:ascii="Arial" w:hAnsi="Arial" w:cs="Arial"/>
              </w:rPr>
              <w:t>proval.  If the contract is with </w:t>
            </w:r>
            <w:r w:rsidR="009B05D1" w:rsidRPr="003C5692">
              <w:rPr>
                <w:rFonts w:ascii="Arial" w:hAnsi="Arial" w:cs="Arial"/>
              </w:rPr>
              <w:t>a school district, SETA Fiscal ca</w:t>
            </w:r>
            <w:r w:rsidR="009814A9">
              <w:rPr>
                <w:rFonts w:ascii="Arial" w:hAnsi="Arial" w:cs="Arial"/>
              </w:rPr>
              <w:t>n get the requested information</w:t>
            </w:r>
            <w:r w:rsidR="009B05D1">
              <w:rPr>
                <w:rFonts w:ascii="Arial" w:hAnsi="Arial" w:cs="Arial"/>
              </w:rPr>
              <w:t xml:space="preserve"> and</w:t>
            </w:r>
            <w:r w:rsidR="009B05D1" w:rsidRPr="003C5692">
              <w:rPr>
                <w:rFonts w:ascii="Arial" w:hAnsi="Arial" w:cs="Arial"/>
              </w:rPr>
              <w:t xml:space="preserve"> the proposer does not need to submit a letter.</w:t>
            </w:r>
          </w:p>
          <w:p w14:paraId="0D6D3E2F" w14:textId="77777777" w:rsidR="00453952" w:rsidRPr="00EB2751" w:rsidRDefault="00453952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32F754CF" w14:textId="6417D3B2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Q39</w:t>
            </w:r>
            <w:r>
              <w:rPr>
                <w:rFonts w:ascii="Arial" w:hAnsi="Arial" w:cs="Arial"/>
              </w:rPr>
              <w:t xml:space="preserve">  If a proposer does not already have a letter from the Federal agency that approved the </w:t>
            </w:r>
            <w:r w:rsidR="00244FCA">
              <w:rPr>
                <w:rFonts w:ascii="Arial" w:hAnsi="Arial" w:cs="Arial"/>
              </w:rPr>
              <w:t>indirect rate</w:t>
            </w:r>
            <w:r>
              <w:rPr>
                <w:rFonts w:ascii="Arial" w:hAnsi="Arial" w:cs="Arial"/>
              </w:rPr>
              <w:t xml:space="preserve">, does he/she need to request the letter? </w:t>
            </w:r>
          </w:p>
          <w:p w14:paraId="557D6AD4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47783ADB" w14:textId="37951BEA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A39  Yes; i</w:t>
            </w:r>
            <w:r w:rsidR="009B05D1">
              <w:rPr>
                <w:rFonts w:ascii="Arial" w:hAnsi="Arial" w:cs="Arial"/>
              </w:rPr>
              <w:t>f the contracting agency is not a school district, ask the funding agency for an approval letter.</w:t>
            </w:r>
          </w:p>
          <w:p w14:paraId="6A76B65A" w14:textId="77777777" w:rsidR="009B05D1" w:rsidRPr="003C569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673E8FE2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Q40</w:t>
            </w:r>
            <w:r>
              <w:rPr>
                <w:rFonts w:ascii="Arial" w:hAnsi="Arial" w:cs="Arial"/>
              </w:rPr>
              <w:t xml:space="preserve">  Is there a wage requirement when making a placement? </w:t>
            </w:r>
          </w:p>
          <w:p w14:paraId="6622AE3C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B832B88" w14:textId="6DA3AFD8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A40  U</w:t>
            </w:r>
            <w:r w:rsidR="009B05D1">
              <w:rPr>
                <w:rFonts w:ascii="Arial" w:hAnsi="Arial" w:cs="Arial"/>
              </w:rPr>
              <w:t>se the current State minimum wage.</w:t>
            </w:r>
          </w:p>
          <w:p w14:paraId="5229E449" w14:textId="2770476F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19712D51" w14:textId="77777777" w:rsidR="004E1118" w:rsidRDefault="004E1118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767AC9B1" w14:textId="5F9877B8" w:rsidR="00CF7F84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7735C7C0" w14:textId="77777777" w:rsidR="00CF7F84" w:rsidRPr="00E67693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2C27A33B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Q41</w:t>
            </w:r>
            <w:r>
              <w:rPr>
                <w:rFonts w:ascii="Arial" w:hAnsi="Arial" w:cs="Arial"/>
              </w:rPr>
              <w:t xml:space="preserve">  Is the 20% of allocated funds towards work experience only for office staff? </w:t>
            </w:r>
          </w:p>
          <w:p w14:paraId="07ADD8B1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335EB201" w14:textId="082512C1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</w:t>
            </w:r>
            <w:r w:rsidR="00CF7F84">
              <w:rPr>
                <w:rFonts w:ascii="Arial" w:hAnsi="Arial" w:cs="Arial"/>
              </w:rPr>
              <w:t>1  A</w:t>
            </w:r>
            <w:r>
              <w:rPr>
                <w:rFonts w:ascii="Arial" w:hAnsi="Arial" w:cs="Arial"/>
              </w:rPr>
              <w:t>ctual personnel and WEX costs are included in determining the 20% funding requirement allocated to work experience.</w:t>
            </w:r>
          </w:p>
          <w:p w14:paraId="52DF9093" w14:textId="77777777" w:rsidR="009B05D1" w:rsidRPr="00E67693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65BA4ACA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Q42</w:t>
            </w:r>
            <w:r>
              <w:rPr>
                <w:rFonts w:ascii="Arial" w:hAnsi="Arial" w:cs="Arial"/>
              </w:rPr>
              <w:t xml:space="preserve">  Are youth enrolled in this program excluded from participating in another program that provides additional services? </w:t>
            </w:r>
          </w:p>
          <w:p w14:paraId="36D41D19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026D0946" w14:textId="23F95B4E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A42  No</w:t>
            </w:r>
            <w:r w:rsidR="009B05D1">
              <w:rPr>
                <w:rFonts w:ascii="Arial" w:hAnsi="Arial" w:cs="Arial"/>
              </w:rPr>
              <w:t xml:space="preserve">; there are no </w:t>
            </w:r>
            <w:r w:rsidR="00BB7F5E">
              <w:rPr>
                <w:rFonts w:ascii="Arial" w:hAnsi="Arial" w:cs="Arial"/>
              </w:rPr>
              <w:t>exclusions against</w:t>
            </w:r>
            <w:r w:rsidR="009B05D1">
              <w:rPr>
                <w:rFonts w:ascii="Arial" w:hAnsi="Arial" w:cs="Arial"/>
              </w:rPr>
              <w:t xml:space="preserve"> youth properly co</w:t>
            </w:r>
            <w:r w:rsidR="009B05D1">
              <w:rPr>
                <w:rFonts w:ascii="Arial" w:hAnsi="Arial" w:cs="Arial"/>
              </w:rPr>
              <w:noBreakHyphen/>
              <w:t>enrolling in other  programs a</w:t>
            </w:r>
            <w:r w:rsidR="00244FCA">
              <w:rPr>
                <w:rFonts w:ascii="Arial" w:hAnsi="Arial" w:cs="Arial"/>
              </w:rPr>
              <w:t xml:space="preserve">s </w:t>
            </w:r>
            <w:r w:rsidR="009B05D1">
              <w:rPr>
                <w:rFonts w:ascii="Arial" w:hAnsi="Arial" w:cs="Arial"/>
              </w:rPr>
              <w:t>long as the services provided are not duplicative.</w:t>
            </w:r>
          </w:p>
          <w:p w14:paraId="2C0976F5" w14:textId="77777777" w:rsidR="009B05D1" w:rsidRPr="00230639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02255526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Q43</w:t>
            </w:r>
            <w:r>
              <w:rPr>
                <w:rFonts w:ascii="Arial" w:hAnsi="Arial" w:cs="Arial"/>
              </w:rPr>
              <w:t xml:space="preserve">  Are there additional steps a subcontractor needs to take, such as different prequalifying requirements, to work on a funded program? </w:t>
            </w:r>
          </w:p>
          <w:p w14:paraId="6D404980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650A445" w14:textId="3EDAF631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A43  No</w:t>
            </w:r>
            <w:r w:rsidR="009B05D1">
              <w:rPr>
                <w:rFonts w:ascii="Arial" w:hAnsi="Arial" w:cs="Arial"/>
              </w:rPr>
              <w:t>; however the subcontractor must qualify for insurance</w:t>
            </w:r>
            <w:r w:rsidR="00244FCA">
              <w:rPr>
                <w:rFonts w:ascii="Arial" w:hAnsi="Arial" w:cs="Arial"/>
              </w:rPr>
              <w:t>,</w:t>
            </w:r>
            <w:r w:rsidR="009B05D1">
              <w:rPr>
                <w:rFonts w:ascii="Arial" w:hAnsi="Arial" w:cs="Arial"/>
              </w:rPr>
              <w:t xml:space="preserve"> and depending upon the work being done, further review may be undertaken at that time.</w:t>
            </w:r>
          </w:p>
          <w:p w14:paraId="6EBAC3B4" w14:textId="77777777" w:rsidR="009B05D1" w:rsidRPr="00230639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0DF2CC07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Q44</w:t>
            </w:r>
            <w:r>
              <w:rPr>
                <w:rFonts w:ascii="Arial" w:hAnsi="Arial" w:cs="Arial"/>
              </w:rPr>
              <w:t xml:space="preserve">  If an enrollee is electronically carried past the end date for the one-year program, does the funded money continue until the enrollment is complete? </w:t>
            </w:r>
          </w:p>
          <w:p w14:paraId="3689D0EE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602110A0" w14:textId="4CD8CDDC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A44  </w:t>
            </w:r>
            <w:r w:rsidR="00CF7F84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unding is for a one-year period and</w:t>
            </w:r>
            <w:r w:rsidR="00244FCA">
              <w:rPr>
                <w:rFonts w:ascii="Arial" w:hAnsi="Arial" w:cs="Arial"/>
              </w:rPr>
              <w:t xml:space="preserve"> unspent</w:t>
            </w:r>
            <w:r>
              <w:rPr>
                <w:rFonts w:ascii="Arial" w:hAnsi="Arial" w:cs="Arial"/>
              </w:rPr>
              <w:t xml:space="preserve"> funds will be recaptured at the end date of the one-year </w:t>
            </w:r>
            <w:r w:rsidR="00244FCA">
              <w:rPr>
                <w:rFonts w:ascii="Arial" w:hAnsi="Arial" w:cs="Arial"/>
              </w:rPr>
              <w:t>period</w:t>
            </w:r>
            <w:r>
              <w:rPr>
                <w:rFonts w:ascii="Arial" w:hAnsi="Arial" w:cs="Arial"/>
              </w:rPr>
              <w:t>.</w:t>
            </w:r>
          </w:p>
          <w:p w14:paraId="6F87C5FB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46C311B0" w14:textId="7150BC02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Q45</w:t>
            </w:r>
            <w:r>
              <w:rPr>
                <w:rFonts w:ascii="Arial" w:hAnsi="Arial" w:cs="Arial"/>
              </w:rPr>
              <w:t xml:space="preserve">  Can providers serve junior college students (18-24) if they’re included in at</w:t>
            </w:r>
            <w:r>
              <w:rPr>
                <w:rFonts w:ascii="Arial" w:hAnsi="Arial" w:cs="Arial"/>
              </w:rPr>
              <w:noBreakHyphen/>
              <w:t xml:space="preserve">risk youth categories or a youth (16-18) not enrolled in high school? </w:t>
            </w:r>
          </w:p>
          <w:p w14:paraId="448A6F2B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0DD7A37C" w14:textId="4DC2A675" w:rsidR="009B05D1" w:rsidRDefault="00CF7F8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A45  </w:t>
            </w:r>
            <w:r w:rsidR="009B05D1">
              <w:rPr>
                <w:rFonts w:ascii="Arial" w:hAnsi="Arial" w:cs="Arial"/>
              </w:rPr>
              <w:t xml:space="preserve">College students, 18 to 21 </w:t>
            </w:r>
            <w:r>
              <w:rPr>
                <w:rFonts w:ascii="Arial" w:hAnsi="Arial" w:cs="Arial"/>
              </w:rPr>
              <w:t>who meet</w:t>
            </w:r>
            <w:r w:rsidR="009B05D1">
              <w:rPr>
                <w:rFonts w:ascii="Arial" w:hAnsi="Arial" w:cs="Arial"/>
              </w:rPr>
              <w:t xml:space="preserve"> WIOA  program eligibility requirements,</w:t>
            </w:r>
            <w:r w:rsidR="00337CE4">
              <w:rPr>
                <w:rFonts w:ascii="Arial" w:hAnsi="Arial" w:cs="Arial"/>
              </w:rPr>
              <w:t xml:space="preserve"> can be served under In</w:t>
            </w:r>
            <w:r w:rsidR="00337CE4">
              <w:rPr>
                <w:rFonts w:ascii="Arial" w:hAnsi="Arial" w:cs="Arial"/>
              </w:rPr>
              <w:noBreakHyphen/>
            </w:r>
            <w:r w:rsidR="009B05D1">
              <w:rPr>
                <w:rFonts w:ascii="Arial" w:hAnsi="Arial" w:cs="Arial"/>
              </w:rPr>
              <w:t xml:space="preserve">School Youth services. </w:t>
            </w:r>
            <w:r w:rsidR="005863D4">
              <w:rPr>
                <w:rFonts w:ascii="Arial" w:hAnsi="Arial" w:cs="Arial"/>
              </w:rPr>
              <w:t>Y</w:t>
            </w:r>
            <w:r w:rsidR="009B05D1">
              <w:rPr>
                <w:rFonts w:ascii="Arial" w:hAnsi="Arial" w:cs="Arial"/>
              </w:rPr>
              <w:t>outh</w:t>
            </w:r>
            <w:r w:rsidR="00337CE4">
              <w:rPr>
                <w:rFonts w:ascii="Arial" w:hAnsi="Arial" w:cs="Arial"/>
              </w:rPr>
              <w:t>,</w:t>
            </w:r>
            <w:r w:rsidR="009B05D1">
              <w:rPr>
                <w:rFonts w:ascii="Arial" w:hAnsi="Arial" w:cs="Arial"/>
              </w:rPr>
              <w:t xml:space="preserve"> 16-18 years of age not enrolled in school, who meet WIOA program eligibility,</w:t>
            </w:r>
            <w:r w:rsidR="00337CE4">
              <w:rPr>
                <w:rFonts w:ascii="Arial" w:hAnsi="Arial" w:cs="Arial"/>
              </w:rPr>
              <w:t xml:space="preserve"> can be served under Out</w:t>
            </w:r>
            <w:r w:rsidR="00337CE4">
              <w:rPr>
                <w:rFonts w:ascii="Arial" w:hAnsi="Arial" w:cs="Arial"/>
              </w:rPr>
              <w:noBreakHyphen/>
              <w:t>of</w:t>
            </w:r>
            <w:r w:rsidR="00337CE4">
              <w:rPr>
                <w:rFonts w:ascii="Arial" w:hAnsi="Arial" w:cs="Arial"/>
              </w:rPr>
              <w:noBreakHyphen/>
            </w:r>
            <w:r>
              <w:rPr>
                <w:rFonts w:ascii="Arial" w:hAnsi="Arial" w:cs="Arial"/>
              </w:rPr>
              <w:t>School Youth </w:t>
            </w:r>
            <w:r w:rsidR="009B05D1">
              <w:rPr>
                <w:rFonts w:ascii="Arial" w:hAnsi="Arial" w:cs="Arial"/>
              </w:rPr>
              <w:t xml:space="preserve">services. </w:t>
            </w:r>
          </w:p>
          <w:p w14:paraId="24A77DE0" w14:textId="77777777" w:rsidR="00337CE4" w:rsidRPr="002261DE" w:rsidRDefault="00337CE4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4894CC32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Q46</w:t>
            </w:r>
            <w:r>
              <w:rPr>
                <w:rFonts w:ascii="Arial" w:hAnsi="Arial" w:cs="Arial"/>
              </w:rPr>
              <w:t xml:space="preserve">  Does Paragragh (b), Page 8, Section I, permit a proposer to submit other evidence of prior performance? </w:t>
            </w:r>
          </w:p>
          <w:p w14:paraId="0F6A817E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03F684C3" w14:textId="26EE2355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A46  </w:t>
            </w:r>
            <w:r w:rsidR="007C739E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; please submit.</w:t>
            </w:r>
          </w:p>
          <w:p w14:paraId="234FD2FB" w14:textId="77777777" w:rsidR="009B05D1" w:rsidRPr="00D80EA2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28"/>
              </w:rPr>
            </w:pPr>
          </w:p>
          <w:p w14:paraId="485DAC1E" w14:textId="3EE26E30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Q47</w:t>
            </w:r>
            <w:r>
              <w:rPr>
                <w:rFonts w:ascii="Arial" w:hAnsi="Arial" w:cs="Arial"/>
              </w:rPr>
              <w:t xml:space="preserve">  Is there a suggested format to record ethnicity under “Other” on the Demographic Charts, page 81, in Section IV?  Are percentages acceptable if multiple ethnicit</w:t>
            </w:r>
            <w:r w:rsidR="0041323D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exist?</w:t>
            </w:r>
          </w:p>
          <w:p w14:paraId="4CA0D8EF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  <w:sz w:val="10"/>
              </w:rPr>
            </w:pPr>
          </w:p>
          <w:p w14:paraId="51AF2117" w14:textId="25D27EB7" w:rsidR="009B05D1" w:rsidRDefault="007C739E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A47  Yes; p</w:t>
            </w:r>
            <w:r w:rsidR="009B05D1">
              <w:rPr>
                <w:rFonts w:ascii="Arial" w:hAnsi="Arial" w:cs="Arial"/>
              </w:rPr>
              <w:t>lease be specific where possible by using descriptive language instead of percentages.</w:t>
            </w:r>
          </w:p>
          <w:p w14:paraId="46954825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702" w:right="870" w:hanging="522"/>
              <w:rPr>
                <w:rFonts w:ascii="Arial" w:hAnsi="Arial" w:cs="Arial"/>
              </w:rPr>
            </w:pPr>
          </w:p>
          <w:p w14:paraId="67FD96A5" w14:textId="77777777" w:rsidR="009B05D1" w:rsidRDefault="009B05D1" w:rsidP="004E1118">
            <w:pPr>
              <w:pStyle w:val="ListParagraph"/>
              <w:shd w:val="clear" w:color="auto" w:fill="FFFFFF" w:themeFill="background1"/>
              <w:ind w:left="522" w:right="870" w:hanging="522"/>
              <w:rPr>
                <w:rFonts w:ascii="Arial" w:hAnsi="Arial" w:cs="Arial"/>
              </w:rPr>
            </w:pPr>
          </w:p>
          <w:p w14:paraId="068924AB" w14:textId="77777777" w:rsidR="009B05D1" w:rsidRDefault="00652FEB" w:rsidP="004E1118">
            <w:pPr>
              <w:pStyle w:val="ListParagraph"/>
              <w:shd w:val="clear" w:color="auto" w:fill="FFFFFF" w:themeFill="background1"/>
              <w:ind w:left="432" w:right="870"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Sacramento Works Youth Services Proposers Conference ended at 11:20 a.m.</w:t>
            </w:r>
          </w:p>
          <w:p w14:paraId="631C675A" w14:textId="56F83335" w:rsidR="001975A5" w:rsidRDefault="001975A5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53B5C79A" w14:textId="77777777" w:rsidR="001975A5" w:rsidRDefault="001975A5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7FB74BF6" w14:textId="1753F95E" w:rsidR="009B05D1" w:rsidRDefault="009B05D1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5F6A6ECB" w14:textId="13285688" w:rsidR="007C739E" w:rsidRDefault="007C739E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0D8C65B1" w14:textId="5E25F950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71DA4CDF" w14:textId="5EC40CE8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223010E7" w14:textId="2905219F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44E790FA" w14:textId="38876D01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3E6D9A7A" w14:textId="0DCC0F5E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687642D7" w14:textId="1BEF2D11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41A09B6D" w14:textId="77777777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7181BB2E" w14:textId="18F6BB44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4C7AEB4E" w14:textId="22A1F3BE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3A1082C9" w14:textId="77777777" w:rsidR="004E1118" w:rsidRDefault="004E1118" w:rsidP="009B05D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35EA2796" w14:textId="77777777" w:rsidR="00652FEB" w:rsidRPr="00453952" w:rsidRDefault="009B05D1" w:rsidP="00337CE4">
            <w:pPr>
              <w:pStyle w:val="ListParagraph"/>
              <w:shd w:val="clear" w:color="auto" w:fill="FFFFFF" w:themeFill="background1"/>
              <w:ind w:left="612" w:right="870" w:hanging="513"/>
              <w:rPr>
                <w:rFonts w:ascii="Arial" w:hAnsi="Arial" w:cs="Arial"/>
                <w:b/>
                <w:u w:val="single"/>
              </w:rPr>
            </w:pPr>
            <w:r w:rsidRPr="00453952">
              <w:rPr>
                <w:rFonts w:ascii="Arial" w:hAnsi="Arial" w:cs="Arial"/>
                <w:b/>
              </w:rPr>
              <w:t>Attachments:</w:t>
            </w:r>
            <w:r w:rsidRPr="00453952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72FD6BD9" w14:textId="77777777" w:rsidR="00200CC1" w:rsidRPr="001975A5" w:rsidRDefault="00200CC1" w:rsidP="00337CE4">
            <w:pPr>
              <w:pStyle w:val="ListParagraph"/>
              <w:shd w:val="clear" w:color="auto" w:fill="FFFFFF" w:themeFill="background1"/>
              <w:ind w:left="612" w:right="864" w:hanging="518"/>
              <w:rPr>
                <w:rFonts w:ascii="Arial" w:hAnsi="Arial" w:cs="Arial"/>
                <w:sz w:val="8"/>
              </w:rPr>
            </w:pPr>
          </w:p>
          <w:p w14:paraId="6FC6BC30" w14:textId="77777777" w:rsidR="009B05D1" w:rsidRPr="00546C06" w:rsidRDefault="009B05D1" w:rsidP="00546C06">
            <w:pPr>
              <w:spacing w:before="120"/>
              <w:ind w:left="72" w:right="-14"/>
              <w:rPr>
                <w:rFonts w:ascii="Arial" w:eastAsia="Times New Roman" w:hAnsi="Arial" w:cs="Arial"/>
                <w:b/>
                <w:i/>
                <w:color w:val="000000"/>
                <w:spacing w:val="4"/>
                <w:sz w:val="16"/>
                <w:szCs w:val="18"/>
                <w:u w:val="single"/>
              </w:rPr>
            </w:pPr>
            <w:r w:rsidRPr="00546C06">
              <w:rPr>
                <w:rFonts w:ascii="Arial" w:hAnsi="Arial" w:cs="Arial"/>
                <w:u w:val="single"/>
              </w:rPr>
              <w:t>SETA WDD Youth Directives</w:t>
            </w:r>
            <w:r w:rsidR="005A29A4" w:rsidRPr="00546C06">
              <w:rPr>
                <w:rFonts w:ascii="Arial" w:hAnsi="Arial" w:cs="Arial"/>
                <w:u w:val="single"/>
              </w:rPr>
              <w:t xml:space="preserve"> </w:t>
            </w:r>
            <w:r w:rsidR="005A29A4" w:rsidRPr="00546C06">
              <w:rPr>
                <w:rFonts w:ascii="Arial" w:eastAsia="Times New Roman" w:hAnsi="Arial" w:cs="Arial"/>
                <w:b/>
                <w:color w:val="000000"/>
                <w:spacing w:val="4"/>
                <w:sz w:val="16"/>
                <w:szCs w:val="18"/>
                <w:u w:val="single"/>
              </w:rPr>
              <w:t>(</w:t>
            </w:r>
            <w:r w:rsidR="005A29A4" w:rsidRPr="00546C06">
              <w:rPr>
                <w:rFonts w:ascii="Arial" w:eastAsia="Times New Roman" w:hAnsi="Arial" w:cs="Arial"/>
                <w:b/>
                <w:i/>
                <w:color w:val="000000"/>
                <w:spacing w:val="4"/>
                <w:sz w:val="14"/>
                <w:szCs w:val="18"/>
                <w:u w:val="single"/>
              </w:rPr>
              <w:t>Ctrl button+left click</w:t>
            </w:r>
            <w:r w:rsidR="005A29A4" w:rsidRPr="00546C06">
              <w:rPr>
                <w:rFonts w:ascii="Arial" w:eastAsia="Times New Roman" w:hAnsi="Arial" w:cs="Arial"/>
                <w:b/>
                <w:color w:val="000000"/>
                <w:spacing w:val="4"/>
                <w:sz w:val="16"/>
                <w:szCs w:val="18"/>
                <w:u w:val="single"/>
              </w:rPr>
              <w:t>)</w:t>
            </w:r>
            <w:r w:rsidRPr="00546C06">
              <w:rPr>
                <w:rFonts w:ascii="Arial" w:hAnsi="Arial" w:cs="Arial"/>
              </w:rPr>
              <w:t xml:space="preserve">: </w:t>
            </w:r>
          </w:p>
          <w:p w14:paraId="362E6B5C" w14:textId="77777777" w:rsidR="009B05D1" w:rsidRPr="00546C06" w:rsidRDefault="009B05D1" w:rsidP="00546C06">
            <w:pPr>
              <w:pStyle w:val="ListParagraph"/>
              <w:shd w:val="clear" w:color="auto" w:fill="FFFFFF" w:themeFill="background1"/>
              <w:spacing w:before="120"/>
              <w:ind w:left="612" w:right="870" w:hanging="522"/>
              <w:rPr>
                <w:rFonts w:ascii="Arial" w:hAnsi="Arial" w:cs="Arial"/>
                <w:sz w:val="16"/>
              </w:rPr>
            </w:pPr>
          </w:p>
          <w:p w14:paraId="2DD96DE2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612" w:right="1968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Eligibility and Enrollment for WIOA OS Youth</w:t>
            </w:r>
          </w:p>
          <w:p w14:paraId="09593931" w14:textId="5824F517" w:rsidR="009B05D1" w:rsidRPr="004D025B" w:rsidRDefault="00E804DB" w:rsidP="00337CE4">
            <w:pPr>
              <w:pStyle w:val="ListParagraph"/>
              <w:shd w:val="clear" w:color="auto" w:fill="FFFFFF" w:themeFill="background1"/>
              <w:ind w:left="36" w:right="1968"/>
              <w:rPr>
                <w:rFonts w:ascii="Arial" w:hAnsi="Arial" w:cs="Arial"/>
                <w:b/>
                <w:sz w:val="18"/>
                <w:szCs w:val="18"/>
              </w:rPr>
            </w:pPr>
            <w:hyperlink r:id="rId7" w:history="1">
              <w:r w:rsidR="009B05D1" w:rsidRPr="004D025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http://www.seta.net/app/uploads/2018/06/Policy-on-Eligibility-and-Enrollment-for-WIOA-Out-of-School-Youth-WDD-3.pdf</w:t>
              </w:r>
            </w:hyperlink>
          </w:p>
          <w:p w14:paraId="3EF3C838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</w:p>
          <w:p w14:paraId="2954E7C2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Eligibility and Enrollment for WIOA IS Youth</w:t>
            </w:r>
          </w:p>
          <w:p w14:paraId="394BC808" w14:textId="1CDB65D9" w:rsidR="009B05D1" w:rsidRDefault="00E804DB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  <w:b/>
                <w:sz w:val="18"/>
              </w:rPr>
            </w:pPr>
            <w:hyperlink r:id="rId8" w:history="1">
              <w:r w:rsidR="009B05D1" w:rsidRPr="008F42C7">
                <w:rPr>
                  <w:rStyle w:val="Hyperlink"/>
                  <w:rFonts w:ascii="Arial" w:hAnsi="Arial" w:cs="Arial"/>
                  <w:b/>
                  <w:sz w:val="18"/>
                </w:rPr>
                <w:t>http://www.seta.net/app/uploads/2018/06/Policy-on-Eligibility-and-Enrollment-for-WIOA-In-School-Youth-WDD18-2.pdf</w:t>
              </w:r>
            </w:hyperlink>
          </w:p>
          <w:p w14:paraId="2B45AA7B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  <w:b/>
                <w:sz w:val="18"/>
              </w:rPr>
            </w:pPr>
          </w:p>
          <w:p w14:paraId="2AAA06C7" w14:textId="77777777" w:rsidR="009B05D1" w:rsidRPr="00C44E07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  <w:r w:rsidRPr="00C44E07">
              <w:rPr>
                <w:rFonts w:ascii="Arial" w:hAnsi="Arial" w:cs="Arial"/>
              </w:rPr>
              <w:t>Youth Program Enrollment Levels</w:t>
            </w:r>
          </w:p>
          <w:p w14:paraId="57D2CED1" w14:textId="27DEFE4A" w:rsidR="009B05D1" w:rsidRPr="005C73D9" w:rsidRDefault="00E804DB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  <w:b/>
                <w:sz w:val="18"/>
              </w:rPr>
            </w:pPr>
            <w:hyperlink r:id="rId9" w:history="1">
              <w:r w:rsidR="009B05D1" w:rsidRPr="005C73D9">
                <w:rPr>
                  <w:rStyle w:val="Hyperlink"/>
                  <w:rFonts w:ascii="Arial" w:hAnsi="Arial" w:cs="Arial"/>
                  <w:b/>
                  <w:sz w:val="18"/>
                </w:rPr>
                <w:t>http://www.seta.net/app/uploads/2018/06/Youth-Program-Enrollment-Levels-WDD-7.pdf</w:t>
              </w:r>
            </w:hyperlink>
          </w:p>
          <w:p w14:paraId="4D550F8D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</w:p>
          <w:p w14:paraId="53427614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Tracking-Case Management for WIOA Enrolled Youth</w:t>
            </w:r>
          </w:p>
          <w:p w14:paraId="37B8BFA6" w14:textId="30CE2929" w:rsidR="009B05D1" w:rsidRPr="00C44E07" w:rsidRDefault="00E804DB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  <w:b/>
                <w:sz w:val="18"/>
              </w:rPr>
            </w:pPr>
            <w:hyperlink r:id="rId10" w:history="1">
              <w:r w:rsidR="009B05D1" w:rsidRPr="00C44E07">
                <w:rPr>
                  <w:rStyle w:val="Hyperlink"/>
                  <w:rFonts w:ascii="Arial" w:hAnsi="Arial" w:cs="Arial"/>
                  <w:b/>
                  <w:sz w:val="18"/>
                </w:rPr>
                <w:t>http://www.seta.net/app/uploads/2018/06/Customer-Tracking-and-Case-Management-Activities-for-WIOA-Enrolled-Youth-WDD-6.pdf</w:t>
              </w:r>
            </w:hyperlink>
          </w:p>
          <w:p w14:paraId="459D09BD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</w:p>
          <w:p w14:paraId="348B679C" w14:textId="77777777" w:rsidR="009B05D1" w:rsidRPr="008C4A3C" w:rsidRDefault="009B05D1" w:rsidP="00337CE4">
            <w:pPr>
              <w:pStyle w:val="ListParagraph"/>
              <w:shd w:val="clear" w:color="auto" w:fill="FFFFFF" w:themeFill="background1"/>
              <w:ind w:left="81" w:right="1968"/>
              <w:rPr>
                <w:rFonts w:ascii="Arial" w:hAnsi="Arial" w:cs="Arial"/>
              </w:rPr>
            </w:pPr>
            <w:r w:rsidRPr="008C4A3C">
              <w:rPr>
                <w:rFonts w:ascii="Arial" w:hAnsi="Arial" w:cs="Arial"/>
              </w:rPr>
              <w:t>Reporting Youth Performance</w:t>
            </w:r>
          </w:p>
          <w:p w14:paraId="63129E3E" w14:textId="700DE049" w:rsidR="009B05D1" w:rsidRDefault="00E804DB" w:rsidP="00337CE4">
            <w:pPr>
              <w:pStyle w:val="ListParagraph"/>
              <w:shd w:val="clear" w:color="auto" w:fill="FFFFFF" w:themeFill="background1"/>
              <w:ind w:left="99" w:right="1968" w:hanging="17"/>
              <w:rPr>
                <w:rFonts w:ascii="Arial" w:hAnsi="Arial" w:cs="Arial"/>
                <w:b/>
                <w:sz w:val="18"/>
              </w:rPr>
            </w:pPr>
            <w:hyperlink r:id="rId11" w:history="1">
              <w:r w:rsidR="009B05D1" w:rsidRPr="00D91B0F">
                <w:rPr>
                  <w:rStyle w:val="Hyperlink"/>
                  <w:rFonts w:ascii="Arial" w:hAnsi="Arial" w:cs="Arial"/>
                  <w:b/>
                  <w:sz w:val="18"/>
                </w:rPr>
                <w:t>http://www.seta.net/app/uploads/2018/06/Guidelines-for-Reporting-Youth-Performance-Indicators-WDD-5.pdf</w:t>
              </w:r>
            </w:hyperlink>
          </w:p>
          <w:p w14:paraId="5C4D90CE" w14:textId="77777777" w:rsidR="009B05D1" w:rsidRPr="008F42C7" w:rsidRDefault="009B05D1" w:rsidP="00337CE4">
            <w:pPr>
              <w:pStyle w:val="ListParagraph"/>
              <w:shd w:val="clear" w:color="auto" w:fill="FFFFFF" w:themeFill="background1"/>
              <w:ind w:left="612" w:right="1968" w:hanging="522"/>
              <w:rPr>
                <w:rFonts w:ascii="Arial" w:hAnsi="Arial" w:cs="Arial"/>
                <w:b/>
                <w:sz w:val="18"/>
              </w:rPr>
            </w:pPr>
          </w:p>
          <w:p w14:paraId="26B91856" w14:textId="77777777" w:rsidR="009B05D1" w:rsidRDefault="009B05D1" w:rsidP="00337CE4">
            <w:pPr>
              <w:pStyle w:val="ListParagraph"/>
              <w:shd w:val="clear" w:color="auto" w:fill="FFFFFF" w:themeFill="background1"/>
              <w:ind w:left="612" w:right="1968" w:hanging="5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Experience - WEX</w:t>
            </w:r>
          </w:p>
          <w:p w14:paraId="25E76B7E" w14:textId="5F623AEB" w:rsidR="009B05D1" w:rsidRPr="008F42C7" w:rsidRDefault="00E804DB" w:rsidP="00337CE4">
            <w:pPr>
              <w:pStyle w:val="ListParagraph"/>
              <w:shd w:val="clear" w:color="auto" w:fill="FFFFFF" w:themeFill="background1"/>
              <w:ind w:left="612" w:right="1968" w:hanging="549"/>
              <w:rPr>
                <w:rFonts w:ascii="Arial" w:hAnsi="Arial" w:cs="Arial"/>
                <w:b/>
                <w:sz w:val="18"/>
              </w:rPr>
            </w:pPr>
            <w:hyperlink r:id="rId12" w:history="1">
              <w:r w:rsidR="009B05D1" w:rsidRPr="008F42C7">
                <w:rPr>
                  <w:rStyle w:val="Hyperlink"/>
                  <w:rFonts w:ascii="Arial" w:hAnsi="Arial" w:cs="Arial"/>
                  <w:b/>
                  <w:sz w:val="18"/>
                </w:rPr>
                <w:t>http://www.seta.net/app/uploads/2018/06/Work-Experience-WEX-WDD-1.pdf</w:t>
              </w:r>
            </w:hyperlink>
          </w:p>
          <w:p w14:paraId="3A1388DB" w14:textId="77777777" w:rsidR="009B05D1" w:rsidRPr="00200CC1" w:rsidRDefault="009B05D1" w:rsidP="00337CE4">
            <w:pPr>
              <w:pStyle w:val="ListParagraph"/>
              <w:shd w:val="clear" w:color="auto" w:fill="FFFFFF" w:themeFill="background1"/>
              <w:ind w:left="612" w:right="870" w:hanging="549"/>
              <w:rPr>
                <w:rFonts w:ascii="Arial" w:hAnsi="Arial" w:cs="Arial"/>
              </w:rPr>
            </w:pPr>
          </w:p>
          <w:p w14:paraId="1A76095C" w14:textId="6B4A5871" w:rsidR="006966BB" w:rsidRDefault="006966BB" w:rsidP="00200CC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1E2FC8FC" w14:textId="77777777" w:rsidR="0056630B" w:rsidRDefault="0056630B" w:rsidP="00200CC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791B95EA" w14:textId="32533429" w:rsidR="007C739E" w:rsidRDefault="007C739E" w:rsidP="00200CC1">
            <w:pPr>
              <w:pStyle w:val="ListParagraph"/>
              <w:shd w:val="clear" w:color="auto" w:fill="FFFFFF" w:themeFill="background1"/>
              <w:ind w:left="721" w:right="870" w:hanging="522"/>
              <w:rPr>
                <w:rFonts w:ascii="Arial" w:hAnsi="Arial" w:cs="Arial"/>
              </w:rPr>
            </w:pPr>
          </w:p>
          <w:p w14:paraId="70F42517" w14:textId="62A3674D" w:rsidR="007D62CB" w:rsidRPr="00546C06" w:rsidRDefault="00D81A4C" w:rsidP="00546C06">
            <w:pPr>
              <w:pStyle w:val="ListParagraph"/>
              <w:shd w:val="clear" w:color="auto" w:fill="FFFFFF" w:themeFill="background1"/>
              <w:spacing w:after="240"/>
              <w:ind w:left="533" w:right="864" w:hanging="547"/>
              <w:rPr>
                <w:rFonts w:ascii="Arial" w:hAnsi="Arial" w:cs="Arial"/>
                <w:u w:val="single"/>
              </w:rPr>
            </w:pPr>
            <w:r w:rsidRPr="00546C06">
              <w:rPr>
                <w:rFonts w:ascii="Arial" w:hAnsi="Arial" w:cs="Arial"/>
                <w:u w:val="single"/>
              </w:rPr>
              <w:t>Sacramento Works, Inc.</w:t>
            </w:r>
            <w:r w:rsidR="0056630B" w:rsidRPr="00546C06">
              <w:rPr>
                <w:rFonts w:ascii="Arial" w:hAnsi="Arial" w:cs="Arial"/>
                <w:u w:val="single"/>
              </w:rPr>
              <w:t xml:space="preserve"> -</w:t>
            </w:r>
            <w:r w:rsidRPr="00546C06">
              <w:rPr>
                <w:rFonts w:ascii="Arial" w:hAnsi="Arial" w:cs="Arial"/>
                <w:u w:val="single"/>
              </w:rPr>
              <w:t xml:space="preserve"> Critical Occupational Clusters</w:t>
            </w:r>
            <w:r w:rsidR="00546C06" w:rsidRPr="00546C06">
              <w:rPr>
                <w:rFonts w:ascii="Arial" w:hAnsi="Arial" w:cs="Arial"/>
              </w:rPr>
              <w:t>:</w:t>
            </w:r>
          </w:p>
          <w:p w14:paraId="31BECFF0" w14:textId="77777777" w:rsidR="00546C06" w:rsidRPr="00546C06" w:rsidRDefault="00546C06" w:rsidP="00546C06">
            <w:pPr>
              <w:pStyle w:val="ListParagraph"/>
              <w:shd w:val="clear" w:color="auto" w:fill="FFFFFF" w:themeFill="background1"/>
              <w:spacing w:after="240"/>
              <w:ind w:left="533" w:right="864" w:hanging="547"/>
              <w:rPr>
                <w:rFonts w:ascii="Arial" w:hAnsi="Arial" w:cs="Arial"/>
                <w:sz w:val="12"/>
              </w:rPr>
            </w:pPr>
          </w:p>
          <w:p w14:paraId="41BD0A7C" w14:textId="77777777" w:rsidR="009554F2" w:rsidRPr="00E32658" w:rsidRDefault="009554F2" w:rsidP="00546C06">
            <w:pPr>
              <w:pStyle w:val="ListParagraph"/>
              <w:numPr>
                <w:ilvl w:val="0"/>
                <w:numId w:val="14"/>
              </w:numPr>
              <w:spacing w:before="80"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Advanced Manufacturing</w:t>
            </w:r>
          </w:p>
          <w:p w14:paraId="0C480B32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Clean Economy</w:t>
            </w:r>
          </w:p>
          <w:p w14:paraId="42E22FF7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Construction</w:t>
            </w:r>
          </w:p>
          <w:p w14:paraId="7A56F669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Education and Knowledge Creation</w:t>
            </w:r>
          </w:p>
          <w:p w14:paraId="7538189F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Food and Agriculture</w:t>
            </w:r>
          </w:p>
          <w:p w14:paraId="04157CFB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Health Services</w:t>
            </w:r>
          </w:p>
          <w:p w14:paraId="47686E58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80"/>
              <w:ind w:left="518"/>
              <w:rPr>
                <w:sz w:val="24"/>
              </w:rPr>
            </w:pPr>
            <w:r w:rsidRPr="00E32658">
              <w:rPr>
                <w:sz w:val="24"/>
              </w:rPr>
              <w:t>Information and Communications Technology</w:t>
            </w:r>
          </w:p>
          <w:p w14:paraId="0C5DF28D" w14:textId="77777777" w:rsidR="009554F2" w:rsidRPr="00E32658" w:rsidRDefault="009554F2" w:rsidP="0056630B">
            <w:pPr>
              <w:pStyle w:val="ListParagraph"/>
              <w:numPr>
                <w:ilvl w:val="0"/>
                <w:numId w:val="14"/>
              </w:numPr>
              <w:spacing w:after="160"/>
              <w:ind w:left="518"/>
            </w:pPr>
            <w:r w:rsidRPr="00E32658">
              <w:rPr>
                <w:sz w:val="24"/>
              </w:rPr>
              <w:t>Life Sciences</w:t>
            </w:r>
          </w:p>
          <w:p w14:paraId="0B2EB0C4" w14:textId="77777777" w:rsidR="009554F2" w:rsidRPr="00E32658" w:rsidRDefault="009554F2" w:rsidP="009554F2">
            <w:pPr>
              <w:ind w:left="522"/>
              <w:rPr>
                <w:sz w:val="24"/>
              </w:rPr>
            </w:pPr>
            <w:r>
              <w:rPr>
                <w:sz w:val="24"/>
              </w:rPr>
              <w:t>For additional information on Occupational F</w:t>
            </w:r>
            <w:r w:rsidRPr="00E32658">
              <w:rPr>
                <w:sz w:val="24"/>
              </w:rPr>
              <w:t>orecas</w:t>
            </w:r>
            <w:r>
              <w:rPr>
                <w:sz w:val="24"/>
              </w:rPr>
              <w:t>t and Occupational C</w:t>
            </w:r>
            <w:r w:rsidRPr="00E32658">
              <w:rPr>
                <w:sz w:val="24"/>
              </w:rPr>
              <w:t>lusters, visit:</w:t>
            </w:r>
          </w:p>
          <w:p w14:paraId="194002C2" w14:textId="567B2083" w:rsidR="009554F2" w:rsidRPr="00E32658" w:rsidRDefault="00E804DB" w:rsidP="009554F2">
            <w:pPr>
              <w:ind w:left="522"/>
              <w:rPr>
                <w:b/>
                <w:sz w:val="24"/>
              </w:rPr>
            </w:pPr>
            <w:hyperlink r:id="rId13" w:history="1">
              <w:r w:rsidR="009554F2" w:rsidRPr="00E32658">
                <w:rPr>
                  <w:rStyle w:val="Hyperlink"/>
                  <w:b/>
                  <w:sz w:val="24"/>
                </w:rPr>
                <w:t>www.careergps2.com</w:t>
              </w:r>
            </w:hyperlink>
          </w:p>
          <w:p w14:paraId="0D9A331E" w14:textId="613FD638" w:rsidR="009554F2" w:rsidRPr="009554F2" w:rsidRDefault="009554F2" w:rsidP="009554F2">
            <w:pPr>
              <w:pStyle w:val="ListParagraph"/>
              <w:shd w:val="clear" w:color="auto" w:fill="FFFFFF" w:themeFill="background1"/>
              <w:ind w:left="533" w:right="864" w:hanging="547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u w:val="single"/>
              </w:rPr>
            </w:pPr>
          </w:p>
        </w:tc>
      </w:tr>
    </w:tbl>
    <w:p w14:paraId="3982D388" w14:textId="77777777" w:rsidR="00E32658" w:rsidRPr="00E32658" w:rsidRDefault="00E32658" w:rsidP="00E32658">
      <w:pPr>
        <w:rPr>
          <w:sz w:val="24"/>
        </w:rPr>
      </w:pPr>
    </w:p>
    <w:sectPr w:rsidR="00E32658" w:rsidRPr="00E32658" w:rsidSect="00122DEC">
      <w:type w:val="continuous"/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8207" w14:textId="77777777" w:rsidR="00957E6F" w:rsidRDefault="00957E6F" w:rsidP="00957E6F">
      <w:pPr>
        <w:spacing w:after="0" w:line="240" w:lineRule="auto"/>
      </w:pPr>
      <w:r>
        <w:separator/>
      </w:r>
    </w:p>
  </w:endnote>
  <w:endnote w:type="continuationSeparator" w:id="0">
    <w:p w14:paraId="4B129ABC" w14:textId="77777777" w:rsidR="00957E6F" w:rsidRDefault="00957E6F" w:rsidP="0095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78893" w14:textId="77777777" w:rsidR="00957E6F" w:rsidRDefault="00957E6F" w:rsidP="00957E6F">
      <w:pPr>
        <w:spacing w:after="0" w:line="240" w:lineRule="auto"/>
      </w:pPr>
      <w:r>
        <w:separator/>
      </w:r>
    </w:p>
  </w:footnote>
  <w:footnote w:type="continuationSeparator" w:id="0">
    <w:p w14:paraId="0D8C3033" w14:textId="77777777" w:rsidR="00957E6F" w:rsidRDefault="00957E6F" w:rsidP="0095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5C4"/>
    <w:multiLevelType w:val="hybridMultilevel"/>
    <w:tmpl w:val="262C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634"/>
    <w:multiLevelType w:val="hybridMultilevel"/>
    <w:tmpl w:val="9CD6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6E75"/>
    <w:multiLevelType w:val="hybridMultilevel"/>
    <w:tmpl w:val="B5563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F7FDA"/>
    <w:multiLevelType w:val="hybridMultilevel"/>
    <w:tmpl w:val="315AC312"/>
    <w:lvl w:ilvl="0" w:tplc="557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11399"/>
    <w:multiLevelType w:val="hybridMultilevel"/>
    <w:tmpl w:val="07D6E47C"/>
    <w:lvl w:ilvl="0" w:tplc="55761018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55B70FD1"/>
    <w:multiLevelType w:val="hybridMultilevel"/>
    <w:tmpl w:val="DE54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23A16"/>
    <w:multiLevelType w:val="hybridMultilevel"/>
    <w:tmpl w:val="3A8E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D36F4"/>
    <w:multiLevelType w:val="hybridMultilevel"/>
    <w:tmpl w:val="EBAE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10D80"/>
    <w:multiLevelType w:val="hybridMultilevel"/>
    <w:tmpl w:val="EF92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BE8"/>
    <w:multiLevelType w:val="hybridMultilevel"/>
    <w:tmpl w:val="B380AB30"/>
    <w:lvl w:ilvl="0" w:tplc="557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375E5"/>
    <w:multiLevelType w:val="hybridMultilevel"/>
    <w:tmpl w:val="4DCC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9524F"/>
    <w:multiLevelType w:val="hybridMultilevel"/>
    <w:tmpl w:val="B8BA591C"/>
    <w:lvl w:ilvl="0" w:tplc="557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86446"/>
    <w:multiLevelType w:val="hybridMultilevel"/>
    <w:tmpl w:val="5CE4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70A8"/>
    <w:multiLevelType w:val="hybridMultilevel"/>
    <w:tmpl w:val="7A68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5"/>
  </w:num>
  <w:num w:numId="10">
    <w:abstractNumId w:val="13"/>
  </w:num>
  <w:num w:numId="11">
    <w:abstractNumId w:val="4"/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47"/>
    <w:rsid w:val="00013B61"/>
    <w:rsid w:val="00016213"/>
    <w:rsid w:val="00033DBB"/>
    <w:rsid w:val="00035305"/>
    <w:rsid w:val="00037AD3"/>
    <w:rsid w:val="00041B32"/>
    <w:rsid w:val="0004457C"/>
    <w:rsid w:val="000506B3"/>
    <w:rsid w:val="000615FC"/>
    <w:rsid w:val="000722AB"/>
    <w:rsid w:val="0007592C"/>
    <w:rsid w:val="00075CB4"/>
    <w:rsid w:val="0008010B"/>
    <w:rsid w:val="00083762"/>
    <w:rsid w:val="00083BFB"/>
    <w:rsid w:val="00090BBB"/>
    <w:rsid w:val="000B160A"/>
    <w:rsid w:val="000C3590"/>
    <w:rsid w:val="000C430A"/>
    <w:rsid w:val="000E1BB6"/>
    <w:rsid w:val="000E690D"/>
    <w:rsid w:val="000F058F"/>
    <w:rsid w:val="000F1D7C"/>
    <w:rsid w:val="000F3E95"/>
    <w:rsid w:val="000F6DD1"/>
    <w:rsid w:val="00100608"/>
    <w:rsid w:val="00102CD5"/>
    <w:rsid w:val="0010517C"/>
    <w:rsid w:val="00111CD7"/>
    <w:rsid w:val="00112CF7"/>
    <w:rsid w:val="00121249"/>
    <w:rsid w:val="00122DEC"/>
    <w:rsid w:val="00125C39"/>
    <w:rsid w:val="0012630C"/>
    <w:rsid w:val="001278A1"/>
    <w:rsid w:val="00136C9E"/>
    <w:rsid w:val="00136F95"/>
    <w:rsid w:val="0014386E"/>
    <w:rsid w:val="00144E06"/>
    <w:rsid w:val="00144FC7"/>
    <w:rsid w:val="00150D9B"/>
    <w:rsid w:val="00151613"/>
    <w:rsid w:val="00154C65"/>
    <w:rsid w:val="00156896"/>
    <w:rsid w:val="001605E6"/>
    <w:rsid w:val="00172AED"/>
    <w:rsid w:val="00183691"/>
    <w:rsid w:val="00190C2B"/>
    <w:rsid w:val="001934A1"/>
    <w:rsid w:val="00194F80"/>
    <w:rsid w:val="001975A5"/>
    <w:rsid w:val="001A4CA7"/>
    <w:rsid w:val="001C119D"/>
    <w:rsid w:val="001C2B07"/>
    <w:rsid w:val="001D4BF0"/>
    <w:rsid w:val="001E56B0"/>
    <w:rsid w:val="001E6363"/>
    <w:rsid w:val="001E6F8A"/>
    <w:rsid w:val="001F2911"/>
    <w:rsid w:val="001F30E0"/>
    <w:rsid w:val="001F4339"/>
    <w:rsid w:val="00200CC1"/>
    <w:rsid w:val="002042E5"/>
    <w:rsid w:val="00226825"/>
    <w:rsid w:val="00230FB2"/>
    <w:rsid w:val="00235871"/>
    <w:rsid w:val="00242D7B"/>
    <w:rsid w:val="00244FCA"/>
    <w:rsid w:val="00254F83"/>
    <w:rsid w:val="00256DFE"/>
    <w:rsid w:val="00267929"/>
    <w:rsid w:val="00274218"/>
    <w:rsid w:val="002B4B02"/>
    <w:rsid w:val="002C14FE"/>
    <w:rsid w:val="002C22FC"/>
    <w:rsid w:val="002D08B7"/>
    <w:rsid w:val="002D1B29"/>
    <w:rsid w:val="002D6596"/>
    <w:rsid w:val="002E635D"/>
    <w:rsid w:val="002F1DEB"/>
    <w:rsid w:val="0031237B"/>
    <w:rsid w:val="0032375E"/>
    <w:rsid w:val="00333E28"/>
    <w:rsid w:val="00337CE4"/>
    <w:rsid w:val="00342062"/>
    <w:rsid w:val="00367264"/>
    <w:rsid w:val="003749C0"/>
    <w:rsid w:val="003844C1"/>
    <w:rsid w:val="00384C7D"/>
    <w:rsid w:val="00395087"/>
    <w:rsid w:val="003955A7"/>
    <w:rsid w:val="00396344"/>
    <w:rsid w:val="003A172C"/>
    <w:rsid w:val="003A73E2"/>
    <w:rsid w:val="003A7C76"/>
    <w:rsid w:val="003B5556"/>
    <w:rsid w:val="003C18E4"/>
    <w:rsid w:val="003C3FDC"/>
    <w:rsid w:val="003C47CB"/>
    <w:rsid w:val="003C55B6"/>
    <w:rsid w:val="003C5B89"/>
    <w:rsid w:val="003E0729"/>
    <w:rsid w:val="003E082D"/>
    <w:rsid w:val="003E1B67"/>
    <w:rsid w:val="003E366B"/>
    <w:rsid w:val="003E58A0"/>
    <w:rsid w:val="003E6AEE"/>
    <w:rsid w:val="003E73F8"/>
    <w:rsid w:val="003F4856"/>
    <w:rsid w:val="004112B8"/>
    <w:rsid w:val="0041323D"/>
    <w:rsid w:val="00421541"/>
    <w:rsid w:val="00422733"/>
    <w:rsid w:val="00431F2D"/>
    <w:rsid w:val="00432D2D"/>
    <w:rsid w:val="0043444D"/>
    <w:rsid w:val="00435457"/>
    <w:rsid w:val="00436075"/>
    <w:rsid w:val="004501FD"/>
    <w:rsid w:val="00451CB8"/>
    <w:rsid w:val="00453952"/>
    <w:rsid w:val="00454BB5"/>
    <w:rsid w:val="00455D65"/>
    <w:rsid w:val="00473BF7"/>
    <w:rsid w:val="004766D5"/>
    <w:rsid w:val="00481B47"/>
    <w:rsid w:val="004832AC"/>
    <w:rsid w:val="00484604"/>
    <w:rsid w:val="00486439"/>
    <w:rsid w:val="004915FA"/>
    <w:rsid w:val="0049235A"/>
    <w:rsid w:val="00493D87"/>
    <w:rsid w:val="004947D8"/>
    <w:rsid w:val="0049616B"/>
    <w:rsid w:val="004B1D19"/>
    <w:rsid w:val="004B4852"/>
    <w:rsid w:val="004C1118"/>
    <w:rsid w:val="004D02A2"/>
    <w:rsid w:val="004D0BE3"/>
    <w:rsid w:val="004D43EA"/>
    <w:rsid w:val="004E1118"/>
    <w:rsid w:val="004E6566"/>
    <w:rsid w:val="004F3216"/>
    <w:rsid w:val="00504842"/>
    <w:rsid w:val="00512450"/>
    <w:rsid w:val="005158D3"/>
    <w:rsid w:val="005222AD"/>
    <w:rsid w:val="00525137"/>
    <w:rsid w:val="0053646E"/>
    <w:rsid w:val="00543C41"/>
    <w:rsid w:val="00546C06"/>
    <w:rsid w:val="00564EEC"/>
    <w:rsid w:val="0056630B"/>
    <w:rsid w:val="005733EE"/>
    <w:rsid w:val="005741B0"/>
    <w:rsid w:val="00583372"/>
    <w:rsid w:val="005863D4"/>
    <w:rsid w:val="0059671D"/>
    <w:rsid w:val="005A29A4"/>
    <w:rsid w:val="005B4D3C"/>
    <w:rsid w:val="005B6897"/>
    <w:rsid w:val="005C2860"/>
    <w:rsid w:val="005C5692"/>
    <w:rsid w:val="005E0728"/>
    <w:rsid w:val="005E19CB"/>
    <w:rsid w:val="005E3A90"/>
    <w:rsid w:val="005E7C25"/>
    <w:rsid w:val="005F3CD7"/>
    <w:rsid w:val="005F40CA"/>
    <w:rsid w:val="005F6F60"/>
    <w:rsid w:val="00601FEC"/>
    <w:rsid w:val="006127BD"/>
    <w:rsid w:val="0063098A"/>
    <w:rsid w:val="00640C19"/>
    <w:rsid w:val="00640F97"/>
    <w:rsid w:val="00642FB3"/>
    <w:rsid w:val="00647232"/>
    <w:rsid w:val="00652FEB"/>
    <w:rsid w:val="00653CB8"/>
    <w:rsid w:val="00656384"/>
    <w:rsid w:val="0066146A"/>
    <w:rsid w:val="00666C97"/>
    <w:rsid w:val="0066749E"/>
    <w:rsid w:val="00682922"/>
    <w:rsid w:val="0068442B"/>
    <w:rsid w:val="006860FA"/>
    <w:rsid w:val="006966BB"/>
    <w:rsid w:val="006B4330"/>
    <w:rsid w:val="006C475D"/>
    <w:rsid w:val="006C690A"/>
    <w:rsid w:val="006D3C63"/>
    <w:rsid w:val="006F17F1"/>
    <w:rsid w:val="006F4440"/>
    <w:rsid w:val="006F60C2"/>
    <w:rsid w:val="00700B9A"/>
    <w:rsid w:val="007032E5"/>
    <w:rsid w:val="007079CB"/>
    <w:rsid w:val="007248AD"/>
    <w:rsid w:val="0072742C"/>
    <w:rsid w:val="00732446"/>
    <w:rsid w:val="007341BB"/>
    <w:rsid w:val="00737202"/>
    <w:rsid w:val="007374C7"/>
    <w:rsid w:val="00765366"/>
    <w:rsid w:val="00772D04"/>
    <w:rsid w:val="00774658"/>
    <w:rsid w:val="0078173C"/>
    <w:rsid w:val="0079514E"/>
    <w:rsid w:val="007971EB"/>
    <w:rsid w:val="007A7649"/>
    <w:rsid w:val="007A77C9"/>
    <w:rsid w:val="007B0549"/>
    <w:rsid w:val="007B07F6"/>
    <w:rsid w:val="007B18AB"/>
    <w:rsid w:val="007C739E"/>
    <w:rsid w:val="007D62CB"/>
    <w:rsid w:val="007E1AA2"/>
    <w:rsid w:val="007E3D31"/>
    <w:rsid w:val="007E5724"/>
    <w:rsid w:val="007F1A9A"/>
    <w:rsid w:val="007F45E1"/>
    <w:rsid w:val="00800DFE"/>
    <w:rsid w:val="008046B3"/>
    <w:rsid w:val="0080576A"/>
    <w:rsid w:val="00805847"/>
    <w:rsid w:val="00806C7B"/>
    <w:rsid w:val="008075B1"/>
    <w:rsid w:val="008179BE"/>
    <w:rsid w:val="00836F55"/>
    <w:rsid w:val="00843BF5"/>
    <w:rsid w:val="00846225"/>
    <w:rsid w:val="00847A19"/>
    <w:rsid w:val="00852E3D"/>
    <w:rsid w:val="00853BF8"/>
    <w:rsid w:val="008553E8"/>
    <w:rsid w:val="008612F5"/>
    <w:rsid w:val="00866E5B"/>
    <w:rsid w:val="008705C5"/>
    <w:rsid w:val="00870F8F"/>
    <w:rsid w:val="008823FF"/>
    <w:rsid w:val="008833F2"/>
    <w:rsid w:val="00886EBC"/>
    <w:rsid w:val="00887F37"/>
    <w:rsid w:val="0089399F"/>
    <w:rsid w:val="00896F42"/>
    <w:rsid w:val="0089794B"/>
    <w:rsid w:val="008A2376"/>
    <w:rsid w:val="008C7C6F"/>
    <w:rsid w:val="008D2C67"/>
    <w:rsid w:val="008D6DAD"/>
    <w:rsid w:val="008E430A"/>
    <w:rsid w:val="0090101A"/>
    <w:rsid w:val="009013EE"/>
    <w:rsid w:val="00910997"/>
    <w:rsid w:val="009161B1"/>
    <w:rsid w:val="00920D54"/>
    <w:rsid w:val="00922D3F"/>
    <w:rsid w:val="00932D2B"/>
    <w:rsid w:val="00933529"/>
    <w:rsid w:val="00933714"/>
    <w:rsid w:val="009349A0"/>
    <w:rsid w:val="009375C3"/>
    <w:rsid w:val="00950461"/>
    <w:rsid w:val="009554F2"/>
    <w:rsid w:val="0095769B"/>
    <w:rsid w:val="00957E6F"/>
    <w:rsid w:val="009621A9"/>
    <w:rsid w:val="00965876"/>
    <w:rsid w:val="009814A9"/>
    <w:rsid w:val="0098151D"/>
    <w:rsid w:val="00983D91"/>
    <w:rsid w:val="00985931"/>
    <w:rsid w:val="009865CF"/>
    <w:rsid w:val="009A34D9"/>
    <w:rsid w:val="009B05D1"/>
    <w:rsid w:val="009C733A"/>
    <w:rsid w:val="00A04879"/>
    <w:rsid w:val="00A22420"/>
    <w:rsid w:val="00A25EBB"/>
    <w:rsid w:val="00A32BD1"/>
    <w:rsid w:val="00A35E34"/>
    <w:rsid w:val="00A41194"/>
    <w:rsid w:val="00A52E05"/>
    <w:rsid w:val="00A626CD"/>
    <w:rsid w:val="00A679EE"/>
    <w:rsid w:val="00A71D96"/>
    <w:rsid w:val="00A77187"/>
    <w:rsid w:val="00A80666"/>
    <w:rsid w:val="00A84DE4"/>
    <w:rsid w:val="00A97DC6"/>
    <w:rsid w:val="00AA263C"/>
    <w:rsid w:val="00AE359B"/>
    <w:rsid w:val="00AE7AC0"/>
    <w:rsid w:val="00B0026D"/>
    <w:rsid w:val="00B03840"/>
    <w:rsid w:val="00B10FE7"/>
    <w:rsid w:val="00B1424A"/>
    <w:rsid w:val="00B16C2B"/>
    <w:rsid w:val="00B204DE"/>
    <w:rsid w:val="00B26DD8"/>
    <w:rsid w:val="00B41FAF"/>
    <w:rsid w:val="00B42D93"/>
    <w:rsid w:val="00B4651B"/>
    <w:rsid w:val="00B56D65"/>
    <w:rsid w:val="00B64F23"/>
    <w:rsid w:val="00B65AE9"/>
    <w:rsid w:val="00B67CA6"/>
    <w:rsid w:val="00B73964"/>
    <w:rsid w:val="00B77064"/>
    <w:rsid w:val="00B85EEC"/>
    <w:rsid w:val="00B86CC6"/>
    <w:rsid w:val="00B90644"/>
    <w:rsid w:val="00B90EF8"/>
    <w:rsid w:val="00B9193F"/>
    <w:rsid w:val="00B94E57"/>
    <w:rsid w:val="00B97A57"/>
    <w:rsid w:val="00BA0D66"/>
    <w:rsid w:val="00BA66F4"/>
    <w:rsid w:val="00BB4F35"/>
    <w:rsid w:val="00BB7F5E"/>
    <w:rsid w:val="00BC2785"/>
    <w:rsid w:val="00BC5381"/>
    <w:rsid w:val="00BD338C"/>
    <w:rsid w:val="00BD71DF"/>
    <w:rsid w:val="00BE001A"/>
    <w:rsid w:val="00BE01FA"/>
    <w:rsid w:val="00BE2F5A"/>
    <w:rsid w:val="00BE38A6"/>
    <w:rsid w:val="00BE7D67"/>
    <w:rsid w:val="00BF2F42"/>
    <w:rsid w:val="00BF78A5"/>
    <w:rsid w:val="00C040CE"/>
    <w:rsid w:val="00C11A8F"/>
    <w:rsid w:val="00C14C94"/>
    <w:rsid w:val="00C23CB2"/>
    <w:rsid w:val="00C23D97"/>
    <w:rsid w:val="00C30927"/>
    <w:rsid w:val="00C329E0"/>
    <w:rsid w:val="00C443CB"/>
    <w:rsid w:val="00C44672"/>
    <w:rsid w:val="00C614D4"/>
    <w:rsid w:val="00C6156A"/>
    <w:rsid w:val="00C62BE2"/>
    <w:rsid w:val="00C652C9"/>
    <w:rsid w:val="00C74FCA"/>
    <w:rsid w:val="00C827E7"/>
    <w:rsid w:val="00C83AA7"/>
    <w:rsid w:val="00C8630E"/>
    <w:rsid w:val="00C8738A"/>
    <w:rsid w:val="00C9610C"/>
    <w:rsid w:val="00CA2483"/>
    <w:rsid w:val="00CB1E2A"/>
    <w:rsid w:val="00CC21D0"/>
    <w:rsid w:val="00CC6773"/>
    <w:rsid w:val="00CD12FA"/>
    <w:rsid w:val="00CE4AF5"/>
    <w:rsid w:val="00CE6771"/>
    <w:rsid w:val="00CE6951"/>
    <w:rsid w:val="00CF26ED"/>
    <w:rsid w:val="00CF41EA"/>
    <w:rsid w:val="00CF66FC"/>
    <w:rsid w:val="00CF7F84"/>
    <w:rsid w:val="00D028C3"/>
    <w:rsid w:val="00D05FE1"/>
    <w:rsid w:val="00D44179"/>
    <w:rsid w:val="00D46CCF"/>
    <w:rsid w:val="00D46D59"/>
    <w:rsid w:val="00D509B3"/>
    <w:rsid w:val="00D512FB"/>
    <w:rsid w:val="00D75B8E"/>
    <w:rsid w:val="00D81A4C"/>
    <w:rsid w:val="00D9345D"/>
    <w:rsid w:val="00D94DD0"/>
    <w:rsid w:val="00DB1AEB"/>
    <w:rsid w:val="00DB1B84"/>
    <w:rsid w:val="00DB405B"/>
    <w:rsid w:val="00DB6804"/>
    <w:rsid w:val="00DC08B5"/>
    <w:rsid w:val="00DC1538"/>
    <w:rsid w:val="00DD4D41"/>
    <w:rsid w:val="00DE0617"/>
    <w:rsid w:val="00DF1AA3"/>
    <w:rsid w:val="00DF1EFD"/>
    <w:rsid w:val="00DF488B"/>
    <w:rsid w:val="00DF4B34"/>
    <w:rsid w:val="00DF5E6D"/>
    <w:rsid w:val="00E044FD"/>
    <w:rsid w:val="00E04CE9"/>
    <w:rsid w:val="00E05BA6"/>
    <w:rsid w:val="00E06C70"/>
    <w:rsid w:val="00E10875"/>
    <w:rsid w:val="00E1207D"/>
    <w:rsid w:val="00E13CBE"/>
    <w:rsid w:val="00E17C13"/>
    <w:rsid w:val="00E21E2E"/>
    <w:rsid w:val="00E32658"/>
    <w:rsid w:val="00E405F9"/>
    <w:rsid w:val="00E40D68"/>
    <w:rsid w:val="00E46192"/>
    <w:rsid w:val="00E537FD"/>
    <w:rsid w:val="00E57ECC"/>
    <w:rsid w:val="00E63DF6"/>
    <w:rsid w:val="00E66367"/>
    <w:rsid w:val="00E804DB"/>
    <w:rsid w:val="00E80BF8"/>
    <w:rsid w:val="00E846E5"/>
    <w:rsid w:val="00E9135C"/>
    <w:rsid w:val="00E92A97"/>
    <w:rsid w:val="00EA238E"/>
    <w:rsid w:val="00EA54D3"/>
    <w:rsid w:val="00EB340B"/>
    <w:rsid w:val="00EB39B0"/>
    <w:rsid w:val="00EC7655"/>
    <w:rsid w:val="00ED23AB"/>
    <w:rsid w:val="00ED3D52"/>
    <w:rsid w:val="00ED6537"/>
    <w:rsid w:val="00ED7E3A"/>
    <w:rsid w:val="00EF3928"/>
    <w:rsid w:val="00F00CCD"/>
    <w:rsid w:val="00F04A34"/>
    <w:rsid w:val="00F05B1E"/>
    <w:rsid w:val="00F31724"/>
    <w:rsid w:val="00F3172B"/>
    <w:rsid w:val="00F353D9"/>
    <w:rsid w:val="00F40F32"/>
    <w:rsid w:val="00F41F94"/>
    <w:rsid w:val="00F42BE8"/>
    <w:rsid w:val="00F53273"/>
    <w:rsid w:val="00F5720E"/>
    <w:rsid w:val="00F607E8"/>
    <w:rsid w:val="00F705CC"/>
    <w:rsid w:val="00F73F98"/>
    <w:rsid w:val="00F8480C"/>
    <w:rsid w:val="00F87EAF"/>
    <w:rsid w:val="00FA1FCF"/>
    <w:rsid w:val="00FA3D96"/>
    <w:rsid w:val="00FB2BD5"/>
    <w:rsid w:val="00FB4EE3"/>
    <w:rsid w:val="00FC2A34"/>
    <w:rsid w:val="00FC30C5"/>
    <w:rsid w:val="00FD01DF"/>
    <w:rsid w:val="00FD0503"/>
    <w:rsid w:val="00FD6DA2"/>
    <w:rsid w:val="00FE286C"/>
    <w:rsid w:val="00FE47CC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C37205"/>
  <w15:docId w15:val="{D8AFAEBA-A1BC-4509-BF52-0FA915A8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2A"/>
    <w:pPr>
      <w:ind w:left="720"/>
      <w:contextualSpacing/>
    </w:pPr>
  </w:style>
  <w:style w:type="table" w:styleId="TableGrid">
    <w:name w:val="Table Grid"/>
    <w:basedOn w:val="TableNormal"/>
    <w:uiPriority w:val="59"/>
    <w:rsid w:val="008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37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2B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E1207D"/>
  </w:style>
  <w:style w:type="paragraph" w:styleId="Header">
    <w:name w:val="header"/>
    <w:basedOn w:val="Normal"/>
    <w:link w:val="HeaderChar"/>
    <w:uiPriority w:val="99"/>
    <w:unhideWhenUsed/>
    <w:rsid w:val="00957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6F"/>
  </w:style>
  <w:style w:type="paragraph" w:styleId="Footer">
    <w:name w:val="footer"/>
    <w:basedOn w:val="Normal"/>
    <w:link w:val="FooterChar"/>
    <w:uiPriority w:val="99"/>
    <w:unhideWhenUsed/>
    <w:rsid w:val="00957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6F"/>
  </w:style>
  <w:style w:type="character" w:styleId="Hyperlink">
    <w:name w:val="Hyperlink"/>
    <w:basedOn w:val="DefaultParagraphFont"/>
    <w:uiPriority w:val="99"/>
    <w:unhideWhenUsed/>
    <w:rsid w:val="008A23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9A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3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7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.net/app/uploads/2018/06/Policy-on-Eligibility-and-Enrollment-for-WIOA-In-School-Youth-WDD18-2.pdf" TargetMode="External"/><Relationship Id="rId13" Type="http://schemas.openxmlformats.org/officeDocument/2006/relationships/hyperlink" Target="http://www.careergps2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ta.net/app/uploads/2018/06/Policy-on-Eligibility-and-Enrollment-for-WIOA-Out-of-School-Youth-WDD-3.pdf" TargetMode="External"/><Relationship Id="rId12" Type="http://schemas.openxmlformats.org/officeDocument/2006/relationships/hyperlink" Target="http://www.seta.net/app/uploads/2018/06/Work-Experience-WEX-WDD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ta.net/app/uploads/2018/06/Guidelines-for-Reporting-Youth-Performance-Indicators-WDD-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ta.net/app/uploads/2018/06/Customer-Tracking-and-Case-Management-Activities-for-WIOA-Enrolled-Youth-WDD-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ta.net/app/uploads/2018/06/Youth-Program-Enrollment-Levels-WDD-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SETA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B. Mechals</dc:creator>
  <cp:lastModifiedBy>Rachel J. Sattel</cp:lastModifiedBy>
  <cp:revision>4</cp:revision>
  <cp:lastPrinted>2019-02-26T20:59:00Z</cp:lastPrinted>
  <dcterms:created xsi:type="dcterms:W3CDTF">2019-02-26T20:54:00Z</dcterms:created>
  <dcterms:modified xsi:type="dcterms:W3CDTF">2019-02-26T22:06:00Z</dcterms:modified>
  <cp:contentStatus/>
</cp:coreProperties>
</file>