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F88DE" w14:textId="77777777" w:rsidR="00F84394" w:rsidRDefault="00F84394" w:rsidP="00F778CE">
      <w:pPr>
        <w:jc w:val="center"/>
        <w:rPr>
          <w:rFonts w:ascii="Times New Roman" w:hAnsi="Times New Roman" w:cs="Times New Roman"/>
          <w:b/>
          <w:sz w:val="24"/>
          <w:szCs w:val="24"/>
        </w:rPr>
      </w:pPr>
      <w:r>
        <w:rPr>
          <w:rFonts w:ascii="Times New Roman" w:hAnsi="Times New Roman" w:cs="Times New Roman"/>
          <w:b/>
          <w:sz w:val="24"/>
          <w:szCs w:val="24"/>
        </w:rPr>
        <w:t>Sacramento Employment and Training Agency</w:t>
      </w:r>
    </w:p>
    <w:p w14:paraId="1389B8F6" w14:textId="41E272DB" w:rsidR="00F84394" w:rsidRDefault="00F84394" w:rsidP="00F778CE">
      <w:pPr>
        <w:jc w:val="center"/>
        <w:rPr>
          <w:rFonts w:ascii="Times New Roman" w:hAnsi="Times New Roman" w:cs="Times New Roman"/>
          <w:b/>
          <w:sz w:val="24"/>
          <w:szCs w:val="24"/>
        </w:rPr>
      </w:pPr>
      <w:r>
        <w:rPr>
          <w:rFonts w:ascii="Times New Roman" w:hAnsi="Times New Roman" w:cs="Times New Roman"/>
          <w:b/>
          <w:sz w:val="24"/>
          <w:szCs w:val="24"/>
        </w:rPr>
        <w:t xml:space="preserve"> Community Services Block Grant</w:t>
      </w:r>
    </w:p>
    <w:p w14:paraId="275D1CF8" w14:textId="77777777" w:rsidR="00F84394" w:rsidRDefault="00F84394" w:rsidP="00F778CE">
      <w:pPr>
        <w:jc w:val="center"/>
        <w:rPr>
          <w:rFonts w:ascii="Times New Roman" w:hAnsi="Times New Roman" w:cs="Times New Roman"/>
          <w:b/>
          <w:sz w:val="24"/>
          <w:szCs w:val="24"/>
        </w:rPr>
      </w:pPr>
    </w:p>
    <w:p w14:paraId="2463D153" w14:textId="389DA9D9" w:rsidR="00E0375D" w:rsidRPr="00F778CE" w:rsidRDefault="00B2455F" w:rsidP="00F778CE">
      <w:pPr>
        <w:jc w:val="center"/>
        <w:rPr>
          <w:rFonts w:ascii="Times New Roman" w:hAnsi="Times New Roman" w:cs="Times New Roman"/>
          <w:b/>
          <w:sz w:val="24"/>
          <w:szCs w:val="24"/>
        </w:rPr>
      </w:pPr>
      <w:r w:rsidRPr="00F778CE">
        <w:rPr>
          <w:rFonts w:ascii="Times New Roman" w:hAnsi="Times New Roman" w:cs="Times New Roman"/>
          <w:b/>
          <w:sz w:val="24"/>
          <w:szCs w:val="24"/>
        </w:rPr>
        <w:t>Offeror’s Conference 8/12/2019</w:t>
      </w:r>
    </w:p>
    <w:p w14:paraId="24621008" w14:textId="77777777" w:rsidR="00B2455F" w:rsidRPr="00F778CE" w:rsidRDefault="00F778CE" w:rsidP="00F778CE">
      <w:pPr>
        <w:jc w:val="center"/>
        <w:rPr>
          <w:rFonts w:ascii="Times New Roman" w:hAnsi="Times New Roman" w:cs="Times New Roman"/>
          <w:b/>
          <w:sz w:val="24"/>
          <w:szCs w:val="24"/>
        </w:rPr>
      </w:pPr>
      <w:r>
        <w:rPr>
          <w:rFonts w:ascii="Times New Roman" w:hAnsi="Times New Roman" w:cs="Times New Roman"/>
          <w:b/>
          <w:sz w:val="24"/>
          <w:szCs w:val="24"/>
        </w:rPr>
        <w:t>Questions and Answers</w:t>
      </w:r>
    </w:p>
    <w:p w14:paraId="610DC331" w14:textId="77777777" w:rsidR="00B2455F" w:rsidRPr="00F778CE" w:rsidRDefault="00B044F5">
      <w:pPr>
        <w:rPr>
          <w:rFonts w:ascii="Times New Roman" w:hAnsi="Times New Roman" w:cs="Times New Roman"/>
          <w:sz w:val="24"/>
          <w:szCs w:val="24"/>
        </w:rPr>
      </w:pPr>
      <w:r>
        <w:rPr>
          <w:rFonts w:ascii="Times New Roman" w:hAnsi="Times New Roman" w:cs="Times New Roman"/>
          <w:sz w:val="24"/>
          <w:szCs w:val="24"/>
        </w:rPr>
        <w:t xml:space="preserve"> </w:t>
      </w:r>
    </w:p>
    <w:p w14:paraId="68062928" w14:textId="77777777" w:rsidR="00F24E2B" w:rsidRPr="000F2664" w:rsidRDefault="00F24E2B" w:rsidP="00B044F5">
      <w:pPr>
        <w:pStyle w:val="ListParagraph"/>
        <w:numPr>
          <w:ilvl w:val="0"/>
          <w:numId w:val="1"/>
        </w:numPr>
        <w:spacing w:after="240" w:line="276" w:lineRule="auto"/>
        <w:jc w:val="both"/>
        <w:rPr>
          <w:rFonts w:ascii="Times New Roman" w:hAnsi="Times New Roman" w:cs="Times New Roman"/>
          <w:b/>
          <w:sz w:val="24"/>
          <w:szCs w:val="24"/>
        </w:rPr>
      </w:pPr>
      <w:r w:rsidRPr="000F2664">
        <w:rPr>
          <w:rFonts w:ascii="Times New Roman" w:hAnsi="Times New Roman" w:cs="Times New Roman"/>
          <w:b/>
          <w:sz w:val="24"/>
          <w:szCs w:val="24"/>
        </w:rPr>
        <w:t>If our agency Board meets after the RFP deadline, how should we handle the Board’s resolution?</w:t>
      </w:r>
    </w:p>
    <w:p w14:paraId="4F65D51F" w14:textId="77777777" w:rsidR="00D91636" w:rsidRDefault="00D91636" w:rsidP="00D91636">
      <w:p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The</w:t>
      </w:r>
      <w:r w:rsidRPr="00D91636">
        <w:rPr>
          <w:rFonts w:ascii="Times New Roman" w:hAnsi="Times New Roman" w:cs="Times New Roman"/>
          <w:sz w:val="24"/>
          <w:szCs w:val="24"/>
        </w:rPr>
        <w:t xml:space="preserve"> applicant organization </w:t>
      </w:r>
      <w:r>
        <w:rPr>
          <w:rFonts w:ascii="Times New Roman" w:hAnsi="Times New Roman" w:cs="Times New Roman"/>
          <w:sz w:val="24"/>
          <w:szCs w:val="24"/>
        </w:rPr>
        <w:t>should prepare</w:t>
      </w:r>
      <w:r w:rsidRPr="00D91636">
        <w:rPr>
          <w:rFonts w:ascii="Times New Roman" w:hAnsi="Times New Roman" w:cs="Times New Roman"/>
          <w:sz w:val="24"/>
          <w:szCs w:val="24"/>
        </w:rPr>
        <w:t xml:space="preserve"> some type of letter (preferably </w:t>
      </w:r>
      <w:r>
        <w:rPr>
          <w:rFonts w:ascii="Times New Roman" w:hAnsi="Times New Roman" w:cs="Times New Roman"/>
          <w:sz w:val="24"/>
          <w:szCs w:val="24"/>
        </w:rPr>
        <w:t>on</w:t>
      </w:r>
      <w:r w:rsidRPr="00D91636">
        <w:rPr>
          <w:rFonts w:ascii="Times New Roman" w:hAnsi="Times New Roman" w:cs="Times New Roman"/>
          <w:sz w:val="24"/>
          <w:szCs w:val="24"/>
        </w:rPr>
        <w:t xml:space="preserve"> their organization</w:t>
      </w:r>
      <w:r>
        <w:rPr>
          <w:rFonts w:ascii="Times New Roman" w:hAnsi="Times New Roman" w:cs="Times New Roman"/>
          <w:sz w:val="24"/>
          <w:szCs w:val="24"/>
        </w:rPr>
        <w:t>’s letterhead) which includes the following information:</w:t>
      </w:r>
    </w:p>
    <w:p w14:paraId="10ADEE31" w14:textId="77777777" w:rsidR="00D91636" w:rsidRDefault="00D91636" w:rsidP="00D91636">
      <w:pPr>
        <w:spacing w:line="276" w:lineRule="auto"/>
        <w:ind w:left="360"/>
        <w:jc w:val="both"/>
        <w:rPr>
          <w:rFonts w:ascii="Times New Roman" w:hAnsi="Times New Roman" w:cs="Times New Roman"/>
          <w:sz w:val="24"/>
          <w:szCs w:val="24"/>
        </w:rPr>
      </w:pPr>
    </w:p>
    <w:p w14:paraId="7B977ECD" w14:textId="77777777" w:rsidR="00D91636" w:rsidRDefault="00D91636" w:rsidP="00D91636">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t</w:t>
      </w:r>
      <w:r w:rsidRPr="00D91636">
        <w:rPr>
          <w:rFonts w:ascii="Times New Roman" w:hAnsi="Times New Roman" w:cs="Times New Roman"/>
          <w:sz w:val="24"/>
          <w:szCs w:val="24"/>
        </w:rPr>
        <w:t xml:space="preserve">he actual date when their Board </w:t>
      </w:r>
      <w:r>
        <w:rPr>
          <w:rFonts w:ascii="Times New Roman" w:hAnsi="Times New Roman" w:cs="Times New Roman"/>
          <w:sz w:val="24"/>
          <w:szCs w:val="24"/>
        </w:rPr>
        <w:t>will</w:t>
      </w:r>
      <w:r w:rsidRPr="00D91636">
        <w:rPr>
          <w:rFonts w:ascii="Times New Roman" w:hAnsi="Times New Roman" w:cs="Times New Roman"/>
          <w:sz w:val="24"/>
          <w:szCs w:val="24"/>
        </w:rPr>
        <w:t xml:space="preserve"> meet and vote on approval to enter into this CSBG RFP</w:t>
      </w:r>
      <w:r>
        <w:rPr>
          <w:rFonts w:ascii="Times New Roman" w:hAnsi="Times New Roman" w:cs="Times New Roman"/>
          <w:sz w:val="24"/>
          <w:szCs w:val="24"/>
        </w:rPr>
        <w:t>; and</w:t>
      </w:r>
    </w:p>
    <w:p w14:paraId="7DE876BB" w14:textId="77777777" w:rsidR="00D91636" w:rsidRDefault="00D91636" w:rsidP="00D91636">
      <w:pPr>
        <w:pStyle w:val="ListParagraph"/>
        <w:numPr>
          <w:ilvl w:val="0"/>
          <w:numId w:val="2"/>
        </w:numPr>
        <w:spacing w:line="276" w:lineRule="auto"/>
        <w:jc w:val="both"/>
        <w:rPr>
          <w:rFonts w:ascii="Times New Roman" w:hAnsi="Times New Roman" w:cs="Times New Roman"/>
          <w:sz w:val="24"/>
          <w:szCs w:val="24"/>
        </w:rPr>
      </w:pPr>
      <w:r w:rsidRPr="00D91636">
        <w:rPr>
          <w:rFonts w:ascii="Times New Roman" w:hAnsi="Times New Roman" w:cs="Times New Roman"/>
          <w:sz w:val="24"/>
          <w:szCs w:val="24"/>
        </w:rPr>
        <w:t>identifies an authorized person’s printed name and title with their</w:t>
      </w:r>
      <w:r>
        <w:rPr>
          <w:rFonts w:ascii="Times New Roman" w:hAnsi="Times New Roman" w:cs="Times New Roman"/>
          <w:sz w:val="24"/>
          <w:szCs w:val="24"/>
        </w:rPr>
        <w:t xml:space="preserve"> signature.</w:t>
      </w:r>
    </w:p>
    <w:p w14:paraId="5A1FD24D" w14:textId="77777777" w:rsidR="00D91636" w:rsidRDefault="00D91636" w:rsidP="00D91636">
      <w:pPr>
        <w:pStyle w:val="ListParagraph"/>
        <w:spacing w:line="276" w:lineRule="auto"/>
        <w:ind w:left="1080"/>
        <w:jc w:val="both"/>
        <w:rPr>
          <w:rFonts w:ascii="Times New Roman" w:hAnsi="Times New Roman" w:cs="Times New Roman"/>
          <w:sz w:val="24"/>
          <w:szCs w:val="24"/>
        </w:rPr>
      </w:pPr>
    </w:p>
    <w:p w14:paraId="11D3C33F" w14:textId="77777777" w:rsidR="00D91636" w:rsidRPr="00D91636" w:rsidRDefault="00D91636" w:rsidP="00D91636">
      <w:pPr>
        <w:spacing w:line="276" w:lineRule="auto"/>
        <w:ind w:left="360"/>
        <w:jc w:val="both"/>
        <w:rPr>
          <w:rFonts w:ascii="Times New Roman" w:hAnsi="Times New Roman" w:cs="Times New Roman"/>
          <w:sz w:val="24"/>
          <w:szCs w:val="24"/>
        </w:rPr>
      </w:pPr>
      <w:r w:rsidRPr="00D91636">
        <w:rPr>
          <w:rFonts w:ascii="Times New Roman" w:hAnsi="Times New Roman" w:cs="Times New Roman"/>
          <w:sz w:val="24"/>
          <w:szCs w:val="24"/>
        </w:rPr>
        <w:t>Th</w:t>
      </w:r>
      <w:r>
        <w:rPr>
          <w:rFonts w:ascii="Times New Roman" w:hAnsi="Times New Roman" w:cs="Times New Roman"/>
          <w:sz w:val="24"/>
          <w:szCs w:val="24"/>
        </w:rPr>
        <w:t>e above</w:t>
      </w:r>
      <w:r w:rsidRPr="00D91636">
        <w:rPr>
          <w:rFonts w:ascii="Times New Roman" w:hAnsi="Times New Roman" w:cs="Times New Roman"/>
          <w:sz w:val="24"/>
          <w:szCs w:val="24"/>
        </w:rPr>
        <w:t xml:space="preserve"> document will serve as a pending resolution to include with their proposal.</w:t>
      </w:r>
    </w:p>
    <w:p w14:paraId="03F5F140" w14:textId="77777777" w:rsidR="00FD0FE9" w:rsidRPr="00F778CE" w:rsidRDefault="00FD0FE9" w:rsidP="00B044F5">
      <w:pPr>
        <w:pStyle w:val="ListParagraph"/>
        <w:spacing w:after="240" w:line="276" w:lineRule="auto"/>
        <w:ind w:left="360"/>
        <w:jc w:val="both"/>
        <w:rPr>
          <w:rFonts w:ascii="Times New Roman" w:hAnsi="Times New Roman" w:cs="Times New Roman"/>
          <w:sz w:val="24"/>
          <w:szCs w:val="24"/>
        </w:rPr>
      </w:pPr>
    </w:p>
    <w:p w14:paraId="0D34E1EB" w14:textId="77777777" w:rsidR="00F778CE" w:rsidRPr="000F2664" w:rsidRDefault="00F24E2B" w:rsidP="00B044F5">
      <w:pPr>
        <w:pStyle w:val="ListParagraph"/>
        <w:numPr>
          <w:ilvl w:val="0"/>
          <w:numId w:val="1"/>
        </w:numPr>
        <w:spacing w:after="240" w:line="276" w:lineRule="auto"/>
        <w:jc w:val="both"/>
        <w:rPr>
          <w:rFonts w:ascii="Times New Roman" w:hAnsi="Times New Roman" w:cs="Times New Roman"/>
          <w:b/>
          <w:sz w:val="24"/>
          <w:szCs w:val="24"/>
        </w:rPr>
      </w:pPr>
      <w:r w:rsidRPr="000F2664">
        <w:rPr>
          <w:rFonts w:ascii="Times New Roman" w:hAnsi="Times New Roman" w:cs="Times New Roman"/>
          <w:b/>
          <w:sz w:val="24"/>
          <w:szCs w:val="24"/>
        </w:rPr>
        <w:t xml:space="preserve">When you say one signed copy, does it mean a </w:t>
      </w:r>
      <w:r w:rsidR="000F2664">
        <w:rPr>
          <w:rFonts w:ascii="Times New Roman" w:hAnsi="Times New Roman" w:cs="Times New Roman"/>
          <w:b/>
          <w:sz w:val="24"/>
          <w:szCs w:val="24"/>
        </w:rPr>
        <w:t>“</w:t>
      </w:r>
      <w:r w:rsidRPr="000F2664">
        <w:rPr>
          <w:rFonts w:ascii="Times New Roman" w:hAnsi="Times New Roman" w:cs="Times New Roman"/>
          <w:b/>
          <w:sz w:val="24"/>
          <w:szCs w:val="24"/>
        </w:rPr>
        <w:t>hard</w:t>
      </w:r>
      <w:r w:rsidR="000F2664">
        <w:rPr>
          <w:rFonts w:ascii="Times New Roman" w:hAnsi="Times New Roman" w:cs="Times New Roman"/>
          <w:b/>
          <w:sz w:val="24"/>
          <w:szCs w:val="24"/>
        </w:rPr>
        <w:t>”</w:t>
      </w:r>
      <w:r w:rsidRPr="000F2664">
        <w:rPr>
          <w:rFonts w:ascii="Times New Roman" w:hAnsi="Times New Roman" w:cs="Times New Roman"/>
          <w:b/>
          <w:sz w:val="24"/>
          <w:szCs w:val="24"/>
        </w:rPr>
        <w:t xml:space="preserve"> copy or is an electronic signed copy </w:t>
      </w:r>
      <w:r w:rsidR="00F778CE" w:rsidRPr="000F2664">
        <w:rPr>
          <w:rFonts w:ascii="Times New Roman" w:hAnsi="Times New Roman" w:cs="Times New Roman"/>
          <w:b/>
          <w:sz w:val="24"/>
          <w:szCs w:val="24"/>
        </w:rPr>
        <w:t>okay</w:t>
      </w:r>
      <w:r w:rsidRPr="000F2664">
        <w:rPr>
          <w:rFonts w:ascii="Times New Roman" w:hAnsi="Times New Roman" w:cs="Times New Roman"/>
          <w:b/>
          <w:sz w:val="24"/>
          <w:szCs w:val="24"/>
        </w:rPr>
        <w:t>?</w:t>
      </w:r>
    </w:p>
    <w:p w14:paraId="40CBBAA7" w14:textId="77777777" w:rsidR="000F2664" w:rsidRPr="000F2664" w:rsidRDefault="000F2664" w:rsidP="00B044F5">
      <w:pPr>
        <w:pStyle w:val="ListParagraph"/>
        <w:ind w:left="360"/>
        <w:jc w:val="both"/>
        <w:rPr>
          <w:rFonts w:ascii="Times New Roman" w:hAnsi="Times New Roman" w:cs="Times New Roman"/>
          <w:b/>
          <w:sz w:val="24"/>
          <w:szCs w:val="24"/>
        </w:rPr>
      </w:pPr>
    </w:p>
    <w:p w14:paraId="62C4810B" w14:textId="77777777" w:rsidR="000F2664" w:rsidRPr="000F2664" w:rsidRDefault="000F2664" w:rsidP="00B044F5">
      <w:pPr>
        <w:pStyle w:val="ListParagraph"/>
        <w:spacing w:after="24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one signed copy of the proposal may </w:t>
      </w:r>
      <w:r w:rsidR="00B044F5">
        <w:rPr>
          <w:rFonts w:ascii="Times New Roman" w:hAnsi="Times New Roman" w:cs="Times New Roman"/>
          <w:sz w:val="24"/>
          <w:szCs w:val="24"/>
        </w:rPr>
        <w:t xml:space="preserve">either </w:t>
      </w:r>
      <w:r>
        <w:rPr>
          <w:rFonts w:ascii="Times New Roman" w:hAnsi="Times New Roman" w:cs="Times New Roman"/>
          <w:sz w:val="24"/>
          <w:szCs w:val="24"/>
        </w:rPr>
        <w:t>be submitted electronically, as a PDF, or delivered as a “hard” copy.  The signed copy does not have to be a “hard” copy.</w:t>
      </w:r>
    </w:p>
    <w:p w14:paraId="27975DD0" w14:textId="77777777" w:rsidR="00F778CE" w:rsidRPr="00F778CE" w:rsidRDefault="00F778CE" w:rsidP="00B044F5">
      <w:pPr>
        <w:pStyle w:val="ListParagraph"/>
        <w:spacing w:after="240" w:line="276" w:lineRule="auto"/>
        <w:ind w:left="360"/>
        <w:jc w:val="both"/>
        <w:rPr>
          <w:rFonts w:ascii="Times New Roman" w:hAnsi="Times New Roman" w:cs="Times New Roman"/>
          <w:sz w:val="24"/>
          <w:szCs w:val="24"/>
        </w:rPr>
      </w:pPr>
    </w:p>
    <w:p w14:paraId="74F6ADBB" w14:textId="77777777" w:rsidR="00F24E2B" w:rsidRPr="000F2664" w:rsidRDefault="00F778CE" w:rsidP="00B044F5">
      <w:pPr>
        <w:pStyle w:val="ListParagraph"/>
        <w:numPr>
          <w:ilvl w:val="0"/>
          <w:numId w:val="1"/>
        </w:numPr>
        <w:spacing w:after="240" w:line="276" w:lineRule="auto"/>
        <w:jc w:val="both"/>
        <w:rPr>
          <w:rFonts w:ascii="Times New Roman" w:hAnsi="Times New Roman" w:cs="Times New Roman"/>
          <w:b/>
          <w:sz w:val="24"/>
          <w:szCs w:val="24"/>
        </w:rPr>
      </w:pPr>
      <w:r w:rsidRPr="000F2664">
        <w:rPr>
          <w:rFonts w:ascii="Times New Roman" w:hAnsi="Times New Roman" w:cs="Times New Roman"/>
          <w:b/>
          <w:sz w:val="24"/>
          <w:szCs w:val="24"/>
        </w:rPr>
        <w:t>For targeted areas,</w:t>
      </w:r>
      <w:r w:rsidR="00980856" w:rsidRPr="000F2664">
        <w:rPr>
          <w:rFonts w:ascii="Times New Roman" w:hAnsi="Times New Roman" w:cs="Times New Roman"/>
          <w:b/>
          <w:sz w:val="24"/>
          <w:szCs w:val="24"/>
        </w:rPr>
        <w:t xml:space="preserve"> does that mean the entire </w:t>
      </w:r>
      <w:r w:rsidR="000F2664">
        <w:rPr>
          <w:rFonts w:ascii="Times New Roman" w:hAnsi="Times New Roman" w:cs="Times New Roman"/>
          <w:b/>
          <w:sz w:val="24"/>
          <w:szCs w:val="24"/>
        </w:rPr>
        <w:t>C</w:t>
      </w:r>
      <w:r w:rsidR="00980856" w:rsidRPr="000F2664">
        <w:rPr>
          <w:rFonts w:ascii="Times New Roman" w:hAnsi="Times New Roman" w:cs="Times New Roman"/>
          <w:b/>
          <w:sz w:val="24"/>
          <w:szCs w:val="24"/>
        </w:rPr>
        <w:t xml:space="preserve">ity of Sacramento or specific targeted city neighborhoods? </w:t>
      </w:r>
    </w:p>
    <w:p w14:paraId="3673CF7A" w14:textId="77777777" w:rsidR="000F2664" w:rsidRDefault="000F2664" w:rsidP="00B044F5">
      <w:pPr>
        <w:pStyle w:val="ListParagraph"/>
        <w:spacing w:after="240" w:line="276" w:lineRule="auto"/>
        <w:ind w:left="360"/>
        <w:jc w:val="both"/>
        <w:rPr>
          <w:rFonts w:ascii="Times New Roman" w:hAnsi="Times New Roman" w:cs="Times New Roman"/>
          <w:sz w:val="24"/>
          <w:szCs w:val="24"/>
        </w:rPr>
      </w:pPr>
    </w:p>
    <w:p w14:paraId="13EB4E92" w14:textId="77777777" w:rsidR="000F2664" w:rsidRPr="000F2664" w:rsidRDefault="000F2664" w:rsidP="00B044F5">
      <w:pPr>
        <w:pStyle w:val="ListParagraph"/>
        <w:spacing w:after="240" w:line="276" w:lineRule="auto"/>
        <w:ind w:left="360"/>
        <w:jc w:val="both"/>
        <w:rPr>
          <w:rFonts w:ascii="Times New Roman" w:hAnsi="Times New Roman" w:cs="Times New Roman"/>
          <w:sz w:val="24"/>
          <w:szCs w:val="24"/>
        </w:rPr>
      </w:pPr>
      <w:r>
        <w:rPr>
          <w:rFonts w:ascii="Times New Roman" w:hAnsi="Times New Roman" w:cs="Times New Roman"/>
          <w:sz w:val="24"/>
          <w:szCs w:val="24"/>
        </w:rPr>
        <w:t>Certain target areas listed in the RFP are parts of the City of Sacramento.  Proposers may choose to focus only on those sections of the City, or they may choose to broaden their approach to the entire City of Sacramento.  Regardless of which target areas are chosen, delegate agencies chosen for funding serve eligible participants from anywhere in Sacramento County.</w:t>
      </w:r>
    </w:p>
    <w:p w14:paraId="4531E2F2" w14:textId="77777777" w:rsidR="00F778CE" w:rsidRPr="00F778CE" w:rsidRDefault="00F778CE" w:rsidP="00B044F5">
      <w:pPr>
        <w:pStyle w:val="ListParagraph"/>
        <w:spacing w:after="240" w:line="276" w:lineRule="auto"/>
        <w:ind w:left="360"/>
        <w:jc w:val="both"/>
        <w:rPr>
          <w:rFonts w:ascii="Times New Roman" w:hAnsi="Times New Roman" w:cs="Times New Roman"/>
          <w:sz w:val="24"/>
          <w:szCs w:val="24"/>
        </w:rPr>
      </w:pPr>
    </w:p>
    <w:p w14:paraId="25DC48B0" w14:textId="77777777" w:rsidR="00F778CE" w:rsidRDefault="00980856" w:rsidP="00B044F5">
      <w:pPr>
        <w:pStyle w:val="ListParagraph"/>
        <w:numPr>
          <w:ilvl w:val="0"/>
          <w:numId w:val="1"/>
        </w:numPr>
        <w:spacing w:after="240" w:line="276" w:lineRule="auto"/>
        <w:jc w:val="both"/>
        <w:rPr>
          <w:rFonts w:ascii="Times New Roman" w:hAnsi="Times New Roman" w:cs="Times New Roman"/>
          <w:b/>
          <w:sz w:val="24"/>
          <w:szCs w:val="24"/>
        </w:rPr>
      </w:pPr>
      <w:r w:rsidRPr="000F2664">
        <w:rPr>
          <w:rFonts w:ascii="Times New Roman" w:hAnsi="Times New Roman" w:cs="Times New Roman"/>
          <w:b/>
          <w:sz w:val="24"/>
          <w:szCs w:val="24"/>
        </w:rPr>
        <w:t>Are the proposal responses single or double-spaced?</w:t>
      </w:r>
    </w:p>
    <w:p w14:paraId="0EDD5B90" w14:textId="77777777" w:rsidR="000F2664" w:rsidRPr="000F2664" w:rsidRDefault="000F2664" w:rsidP="00B044F5">
      <w:pPr>
        <w:pStyle w:val="ListParagraph"/>
        <w:spacing w:line="276" w:lineRule="auto"/>
        <w:ind w:left="360"/>
        <w:jc w:val="both"/>
        <w:rPr>
          <w:rFonts w:ascii="Times New Roman" w:hAnsi="Times New Roman" w:cs="Times New Roman"/>
          <w:b/>
          <w:sz w:val="24"/>
          <w:szCs w:val="24"/>
        </w:rPr>
      </w:pPr>
    </w:p>
    <w:p w14:paraId="5D0E4BB3" w14:textId="77777777" w:rsidR="00F778CE" w:rsidRDefault="00E13BDB" w:rsidP="00B044F5">
      <w:pPr>
        <w:ind w:left="360"/>
        <w:jc w:val="both"/>
        <w:rPr>
          <w:rFonts w:ascii="Times New Roman" w:hAnsi="Times New Roman" w:cs="Times New Roman"/>
          <w:sz w:val="24"/>
          <w:szCs w:val="24"/>
        </w:rPr>
      </w:pPr>
      <w:r>
        <w:rPr>
          <w:rFonts w:ascii="Times New Roman" w:hAnsi="Times New Roman" w:cs="Times New Roman"/>
          <w:sz w:val="24"/>
          <w:szCs w:val="24"/>
        </w:rPr>
        <w:t>This is not specified in the RFP, so either is acceptable.</w:t>
      </w:r>
    </w:p>
    <w:p w14:paraId="087AE833" w14:textId="77777777" w:rsidR="000F2664" w:rsidRPr="000F2664" w:rsidRDefault="000F2664" w:rsidP="00B044F5">
      <w:pPr>
        <w:jc w:val="both"/>
        <w:rPr>
          <w:rFonts w:ascii="Times New Roman" w:hAnsi="Times New Roman" w:cs="Times New Roman"/>
          <w:sz w:val="24"/>
          <w:szCs w:val="24"/>
        </w:rPr>
      </w:pPr>
    </w:p>
    <w:p w14:paraId="6E2A9BA8" w14:textId="77777777" w:rsidR="00980856" w:rsidRPr="00E13BDB" w:rsidRDefault="00980856" w:rsidP="00B044F5">
      <w:pPr>
        <w:pStyle w:val="ListParagraph"/>
        <w:numPr>
          <w:ilvl w:val="0"/>
          <w:numId w:val="1"/>
        </w:numPr>
        <w:spacing w:after="240" w:line="276" w:lineRule="auto"/>
        <w:jc w:val="both"/>
        <w:rPr>
          <w:rFonts w:ascii="Times New Roman" w:hAnsi="Times New Roman" w:cs="Times New Roman"/>
          <w:b/>
          <w:sz w:val="24"/>
          <w:szCs w:val="24"/>
        </w:rPr>
      </w:pPr>
      <w:r w:rsidRPr="00E13BDB">
        <w:rPr>
          <w:rFonts w:ascii="Times New Roman" w:hAnsi="Times New Roman" w:cs="Times New Roman"/>
          <w:b/>
          <w:sz w:val="24"/>
          <w:szCs w:val="24"/>
        </w:rPr>
        <w:t>The current response format is PDF, while</w:t>
      </w:r>
      <w:r w:rsidR="00CF72BD" w:rsidRPr="00E13BDB">
        <w:rPr>
          <w:rFonts w:ascii="Times New Roman" w:hAnsi="Times New Roman" w:cs="Times New Roman"/>
          <w:b/>
          <w:sz w:val="24"/>
          <w:szCs w:val="24"/>
        </w:rPr>
        <w:t xml:space="preserve"> fiscal</w:t>
      </w:r>
      <w:r w:rsidRPr="00E13BDB">
        <w:rPr>
          <w:rFonts w:ascii="Times New Roman" w:hAnsi="Times New Roman" w:cs="Times New Roman"/>
          <w:b/>
          <w:sz w:val="24"/>
          <w:szCs w:val="24"/>
        </w:rPr>
        <w:t xml:space="preserve"> forms 2</w:t>
      </w:r>
      <w:r w:rsidR="00CF72BD" w:rsidRPr="00E13BDB">
        <w:rPr>
          <w:rFonts w:ascii="Times New Roman" w:hAnsi="Times New Roman" w:cs="Times New Roman"/>
          <w:b/>
          <w:sz w:val="24"/>
          <w:szCs w:val="24"/>
        </w:rPr>
        <w:t>-6 are word documents</w:t>
      </w:r>
      <w:r w:rsidR="000F2664" w:rsidRPr="00E13BDB">
        <w:rPr>
          <w:rFonts w:ascii="Times New Roman" w:hAnsi="Times New Roman" w:cs="Times New Roman"/>
          <w:b/>
          <w:sz w:val="24"/>
          <w:szCs w:val="24"/>
        </w:rPr>
        <w:t>.  S</w:t>
      </w:r>
      <w:r w:rsidR="00CF72BD" w:rsidRPr="00E13BDB">
        <w:rPr>
          <w:rFonts w:ascii="Times New Roman" w:hAnsi="Times New Roman" w:cs="Times New Roman"/>
          <w:b/>
          <w:sz w:val="24"/>
          <w:szCs w:val="24"/>
        </w:rPr>
        <w:t>hould our responses be kept as is?</w:t>
      </w:r>
    </w:p>
    <w:p w14:paraId="73A25F88" w14:textId="77777777" w:rsidR="00E13BDB" w:rsidRDefault="00E13BDB" w:rsidP="00B044F5">
      <w:pPr>
        <w:pStyle w:val="ListParagraph"/>
        <w:spacing w:after="240" w:line="276" w:lineRule="auto"/>
        <w:ind w:left="360"/>
        <w:jc w:val="both"/>
        <w:rPr>
          <w:rFonts w:ascii="Times New Roman" w:hAnsi="Times New Roman" w:cs="Times New Roman"/>
          <w:sz w:val="24"/>
          <w:szCs w:val="24"/>
        </w:rPr>
      </w:pPr>
    </w:p>
    <w:p w14:paraId="3737ED00" w14:textId="77777777" w:rsidR="00E13BDB" w:rsidRPr="00E13BDB" w:rsidRDefault="00E13BDB" w:rsidP="00B044F5">
      <w:pPr>
        <w:pStyle w:val="ListParagraph"/>
        <w:spacing w:after="240" w:line="276" w:lineRule="auto"/>
        <w:ind w:left="360"/>
        <w:jc w:val="both"/>
        <w:rPr>
          <w:rFonts w:ascii="Times New Roman" w:hAnsi="Times New Roman" w:cs="Times New Roman"/>
          <w:b/>
          <w:sz w:val="24"/>
          <w:szCs w:val="24"/>
        </w:rPr>
      </w:pPr>
      <w:r>
        <w:rPr>
          <w:rFonts w:ascii="Times New Roman" w:hAnsi="Times New Roman" w:cs="Times New Roman"/>
          <w:sz w:val="24"/>
          <w:szCs w:val="24"/>
        </w:rPr>
        <w:t>If the proposal is submitted electronically, it should be submitted entirely as a PDF.</w:t>
      </w:r>
    </w:p>
    <w:p w14:paraId="778BF7EE" w14:textId="77777777" w:rsidR="00F778CE" w:rsidRPr="00F778CE" w:rsidRDefault="00F778CE" w:rsidP="00B044F5">
      <w:pPr>
        <w:pStyle w:val="ListParagraph"/>
        <w:spacing w:after="240" w:line="276" w:lineRule="auto"/>
        <w:ind w:left="360"/>
        <w:jc w:val="both"/>
        <w:rPr>
          <w:rFonts w:ascii="Times New Roman" w:hAnsi="Times New Roman" w:cs="Times New Roman"/>
          <w:sz w:val="24"/>
          <w:szCs w:val="24"/>
        </w:rPr>
      </w:pPr>
    </w:p>
    <w:p w14:paraId="311C1366" w14:textId="3A2D0EAA" w:rsidR="00CF72BD" w:rsidRPr="00E13BDB" w:rsidRDefault="00F77BDE" w:rsidP="00F84394">
      <w:pPr>
        <w:rPr>
          <w:rFonts w:ascii="Times New Roman" w:hAnsi="Times New Roman" w:cs="Times New Roman"/>
          <w:b/>
          <w:sz w:val="24"/>
          <w:szCs w:val="24"/>
        </w:rPr>
      </w:pPr>
      <w:r>
        <w:rPr>
          <w:rFonts w:ascii="Times New Roman" w:hAnsi="Times New Roman" w:cs="Times New Roman"/>
          <w:b/>
          <w:sz w:val="24"/>
          <w:szCs w:val="24"/>
        </w:rPr>
        <w:br w:type="page"/>
      </w:r>
      <w:r w:rsidR="00ED5FD1" w:rsidRPr="00E13BDB">
        <w:rPr>
          <w:rFonts w:ascii="Times New Roman" w:hAnsi="Times New Roman" w:cs="Times New Roman"/>
          <w:b/>
          <w:sz w:val="24"/>
          <w:szCs w:val="24"/>
        </w:rPr>
        <w:t>On p</w:t>
      </w:r>
      <w:r w:rsidR="00CF72BD" w:rsidRPr="00E13BDB">
        <w:rPr>
          <w:rFonts w:ascii="Times New Roman" w:hAnsi="Times New Roman" w:cs="Times New Roman"/>
          <w:b/>
          <w:sz w:val="24"/>
          <w:szCs w:val="24"/>
        </w:rPr>
        <w:t>age 59</w:t>
      </w:r>
      <w:r w:rsidR="00E13BDB">
        <w:rPr>
          <w:rFonts w:ascii="Times New Roman" w:hAnsi="Times New Roman" w:cs="Times New Roman"/>
          <w:b/>
          <w:sz w:val="24"/>
          <w:szCs w:val="24"/>
        </w:rPr>
        <w:t>, the “Proposal Assembly Order” lists R</w:t>
      </w:r>
      <w:r w:rsidR="00ED5FD1" w:rsidRPr="00E13BDB">
        <w:rPr>
          <w:rFonts w:ascii="Times New Roman" w:hAnsi="Times New Roman" w:cs="Times New Roman"/>
          <w:b/>
          <w:sz w:val="24"/>
          <w:szCs w:val="24"/>
        </w:rPr>
        <w:t>esponses 1-5 (</w:t>
      </w:r>
      <w:r w:rsidR="00E13BDB">
        <w:rPr>
          <w:rFonts w:ascii="Times New Roman" w:hAnsi="Times New Roman" w:cs="Times New Roman"/>
          <w:b/>
          <w:sz w:val="24"/>
          <w:szCs w:val="24"/>
        </w:rPr>
        <w:t>to be presented in numerical order).  D</w:t>
      </w:r>
      <w:r w:rsidR="00ED5FD1" w:rsidRPr="00E13BDB">
        <w:rPr>
          <w:rFonts w:ascii="Times New Roman" w:hAnsi="Times New Roman" w:cs="Times New Roman"/>
          <w:b/>
          <w:sz w:val="24"/>
          <w:szCs w:val="24"/>
        </w:rPr>
        <w:t xml:space="preserve">o you want </w:t>
      </w:r>
      <w:r w:rsidR="00E13BDB">
        <w:rPr>
          <w:rFonts w:ascii="Times New Roman" w:hAnsi="Times New Roman" w:cs="Times New Roman"/>
          <w:b/>
          <w:sz w:val="24"/>
          <w:szCs w:val="24"/>
        </w:rPr>
        <w:t>R</w:t>
      </w:r>
      <w:r w:rsidR="00ED5FD1" w:rsidRPr="00E13BDB">
        <w:rPr>
          <w:rFonts w:ascii="Times New Roman" w:hAnsi="Times New Roman" w:cs="Times New Roman"/>
          <w:b/>
          <w:sz w:val="24"/>
          <w:szCs w:val="24"/>
        </w:rPr>
        <w:t>esponse 6 included in that? If not, where should it be placed in the assembly order?</w:t>
      </w:r>
    </w:p>
    <w:p w14:paraId="1D20FF55" w14:textId="77777777" w:rsidR="00E13BDB" w:rsidRDefault="00E13BDB" w:rsidP="00B044F5">
      <w:pPr>
        <w:pStyle w:val="ListParagraph"/>
        <w:spacing w:after="240" w:line="276" w:lineRule="auto"/>
        <w:ind w:left="360"/>
        <w:jc w:val="both"/>
        <w:rPr>
          <w:rFonts w:ascii="Times New Roman" w:hAnsi="Times New Roman" w:cs="Times New Roman"/>
          <w:sz w:val="24"/>
          <w:szCs w:val="24"/>
        </w:rPr>
      </w:pPr>
    </w:p>
    <w:p w14:paraId="15F01A1A" w14:textId="77777777" w:rsidR="00E13BDB" w:rsidRPr="00E13BDB" w:rsidRDefault="00E13BDB" w:rsidP="00B044F5">
      <w:pPr>
        <w:pStyle w:val="ListParagraph"/>
        <w:spacing w:after="240" w:line="276" w:lineRule="auto"/>
        <w:ind w:left="360"/>
        <w:jc w:val="both"/>
        <w:rPr>
          <w:rFonts w:ascii="Times New Roman" w:hAnsi="Times New Roman" w:cs="Times New Roman"/>
          <w:sz w:val="24"/>
          <w:szCs w:val="24"/>
        </w:rPr>
      </w:pPr>
      <w:r>
        <w:rPr>
          <w:rFonts w:ascii="Times New Roman" w:hAnsi="Times New Roman" w:cs="Times New Roman"/>
          <w:sz w:val="24"/>
          <w:szCs w:val="24"/>
        </w:rPr>
        <w:t>Response 6 is to follow Response 5 in the Proposal Assembly Order; the instructions in the Proposal Assembly Order should have read, “Responses 1-6”.</w:t>
      </w:r>
    </w:p>
    <w:p w14:paraId="37261018" w14:textId="77777777" w:rsidR="00F778CE" w:rsidRPr="00F778CE" w:rsidRDefault="00F778CE" w:rsidP="00B044F5">
      <w:pPr>
        <w:pStyle w:val="ListParagraph"/>
        <w:jc w:val="both"/>
        <w:rPr>
          <w:rFonts w:ascii="Times New Roman" w:hAnsi="Times New Roman" w:cs="Times New Roman"/>
          <w:sz w:val="24"/>
          <w:szCs w:val="24"/>
        </w:rPr>
      </w:pPr>
    </w:p>
    <w:p w14:paraId="4A44287C" w14:textId="77777777" w:rsidR="00ED5FD1" w:rsidRPr="00E13BDB" w:rsidRDefault="00ED5FD1" w:rsidP="00B044F5">
      <w:pPr>
        <w:pStyle w:val="ListParagraph"/>
        <w:numPr>
          <w:ilvl w:val="0"/>
          <w:numId w:val="1"/>
        </w:numPr>
        <w:spacing w:after="240" w:line="276" w:lineRule="auto"/>
        <w:jc w:val="both"/>
        <w:rPr>
          <w:rFonts w:ascii="Times New Roman" w:hAnsi="Times New Roman" w:cs="Times New Roman"/>
          <w:b/>
          <w:sz w:val="24"/>
          <w:szCs w:val="24"/>
        </w:rPr>
      </w:pPr>
      <w:r w:rsidRPr="00E13BDB">
        <w:rPr>
          <w:rFonts w:ascii="Times New Roman" w:hAnsi="Times New Roman" w:cs="Times New Roman"/>
          <w:b/>
          <w:sz w:val="24"/>
          <w:szCs w:val="24"/>
        </w:rPr>
        <w:t>Will a customer enrolled in CSBG be able to co-enroll in</w:t>
      </w:r>
      <w:r w:rsidR="004146A7">
        <w:rPr>
          <w:rFonts w:ascii="Times New Roman" w:hAnsi="Times New Roman" w:cs="Times New Roman"/>
          <w:b/>
          <w:sz w:val="24"/>
          <w:szCs w:val="24"/>
        </w:rPr>
        <w:t xml:space="preserve"> the</w:t>
      </w:r>
      <w:r w:rsidRPr="00E13BDB">
        <w:rPr>
          <w:rFonts w:ascii="Times New Roman" w:hAnsi="Times New Roman" w:cs="Times New Roman"/>
          <w:b/>
          <w:sz w:val="24"/>
          <w:szCs w:val="24"/>
        </w:rPr>
        <w:t xml:space="preserve"> 201 grant</w:t>
      </w:r>
      <w:r w:rsidR="00B044F5">
        <w:rPr>
          <w:rFonts w:ascii="Times New Roman" w:hAnsi="Times New Roman" w:cs="Times New Roman"/>
          <w:b/>
          <w:sz w:val="24"/>
          <w:szCs w:val="24"/>
        </w:rPr>
        <w:t>,</w:t>
      </w:r>
      <w:r w:rsidRPr="00E13BDB">
        <w:rPr>
          <w:rFonts w:ascii="Times New Roman" w:hAnsi="Times New Roman" w:cs="Times New Roman"/>
          <w:b/>
          <w:sz w:val="24"/>
          <w:szCs w:val="24"/>
        </w:rPr>
        <w:t xml:space="preserve"> and how will the measure of success be tracked?</w:t>
      </w:r>
    </w:p>
    <w:p w14:paraId="33D1E6A1" w14:textId="77777777" w:rsidR="00F778CE" w:rsidRDefault="00F778CE" w:rsidP="00B044F5">
      <w:pPr>
        <w:pStyle w:val="ListParagraph"/>
        <w:ind w:left="360"/>
        <w:jc w:val="both"/>
        <w:rPr>
          <w:rFonts w:ascii="Times New Roman" w:hAnsi="Times New Roman" w:cs="Times New Roman"/>
          <w:sz w:val="24"/>
          <w:szCs w:val="24"/>
        </w:rPr>
      </w:pPr>
    </w:p>
    <w:p w14:paraId="16897034" w14:textId="21A926C7" w:rsidR="00E13BDB" w:rsidRDefault="00E13BDB" w:rsidP="00B044F5">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Customers are </w:t>
      </w:r>
      <w:r w:rsidR="005B6DCF">
        <w:rPr>
          <w:rFonts w:ascii="Times New Roman" w:hAnsi="Times New Roman" w:cs="Times New Roman"/>
          <w:sz w:val="24"/>
          <w:szCs w:val="24"/>
        </w:rPr>
        <w:t>encourag</w:t>
      </w:r>
      <w:r>
        <w:rPr>
          <w:rFonts w:ascii="Times New Roman" w:hAnsi="Times New Roman" w:cs="Times New Roman"/>
          <w:sz w:val="24"/>
          <w:szCs w:val="24"/>
        </w:rPr>
        <w:t>ed to co-enroll in the 201 grant and in CSBG services.  Support services listed on the CSBG monthly reports must be limited to those charged to the CSBG program, and the same would hold true for</w:t>
      </w:r>
      <w:r w:rsidR="00555F08">
        <w:rPr>
          <w:rFonts w:ascii="Times New Roman" w:hAnsi="Times New Roman" w:cs="Times New Roman"/>
          <w:sz w:val="24"/>
          <w:szCs w:val="24"/>
        </w:rPr>
        <w:t xml:space="preserve"> support services charged to the 201 grant in WIOA </w:t>
      </w:r>
      <w:r>
        <w:rPr>
          <w:rFonts w:ascii="Times New Roman" w:hAnsi="Times New Roman" w:cs="Times New Roman"/>
          <w:sz w:val="24"/>
          <w:szCs w:val="24"/>
        </w:rPr>
        <w:t>documentation.  Because CSBG-enrolled customers arrive at a Sacramento Works America’s Job Center (SWAJC) with the support and guidance of a CSBG case manager, it is appropriate to document success related to employm</w:t>
      </w:r>
      <w:r w:rsidR="00555F08">
        <w:rPr>
          <w:rFonts w:ascii="Times New Roman" w:hAnsi="Times New Roman" w:cs="Times New Roman"/>
          <w:sz w:val="24"/>
          <w:szCs w:val="24"/>
        </w:rPr>
        <w:t>ent on the CSBG monthly reports for the duration of their enrollment in the CSBG program.</w:t>
      </w:r>
    </w:p>
    <w:p w14:paraId="31A239D5" w14:textId="77777777" w:rsidR="00E13BDB" w:rsidRPr="00F778CE" w:rsidRDefault="00E13BDB" w:rsidP="00B044F5">
      <w:pPr>
        <w:pStyle w:val="ListParagraph"/>
        <w:ind w:left="360"/>
        <w:jc w:val="both"/>
        <w:rPr>
          <w:rFonts w:ascii="Times New Roman" w:hAnsi="Times New Roman" w:cs="Times New Roman"/>
          <w:sz w:val="24"/>
          <w:szCs w:val="24"/>
        </w:rPr>
      </w:pPr>
    </w:p>
    <w:p w14:paraId="37916A09" w14:textId="77777777" w:rsidR="00ED5FD1" w:rsidRDefault="00ED5FD1" w:rsidP="00B044F5">
      <w:pPr>
        <w:pStyle w:val="ListParagraph"/>
        <w:numPr>
          <w:ilvl w:val="0"/>
          <w:numId w:val="1"/>
        </w:numPr>
        <w:spacing w:after="240" w:line="276" w:lineRule="auto"/>
        <w:jc w:val="both"/>
        <w:rPr>
          <w:rFonts w:ascii="Times New Roman" w:hAnsi="Times New Roman" w:cs="Times New Roman"/>
          <w:b/>
          <w:sz w:val="24"/>
          <w:szCs w:val="24"/>
        </w:rPr>
      </w:pPr>
      <w:r w:rsidRPr="00E13BDB">
        <w:rPr>
          <w:rFonts w:ascii="Times New Roman" w:hAnsi="Times New Roman" w:cs="Times New Roman"/>
          <w:b/>
          <w:sz w:val="24"/>
          <w:szCs w:val="24"/>
        </w:rPr>
        <w:t xml:space="preserve">On the budget document it requests </w:t>
      </w:r>
      <w:r w:rsidRPr="00E13BDB">
        <w:rPr>
          <w:rFonts w:ascii="Times New Roman" w:hAnsi="Times New Roman" w:cs="Times New Roman"/>
          <w:b/>
          <w:i/>
          <w:sz w:val="24"/>
          <w:szCs w:val="24"/>
        </w:rPr>
        <w:t>totals</w:t>
      </w:r>
      <w:r w:rsidRPr="00E13BDB">
        <w:rPr>
          <w:rFonts w:ascii="Times New Roman" w:hAnsi="Times New Roman" w:cs="Times New Roman"/>
          <w:b/>
          <w:sz w:val="24"/>
          <w:szCs w:val="24"/>
        </w:rPr>
        <w:t xml:space="preserve"> for each component, including sources outside of CSBG funding listed </w:t>
      </w:r>
      <w:r w:rsidR="00C61418" w:rsidRPr="00E13BDB">
        <w:rPr>
          <w:rFonts w:ascii="Times New Roman" w:hAnsi="Times New Roman" w:cs="Times New Roman"/>
          <w:b/>
          <w:sz w:val="24"/>
          <w:szCs w:val="24"/>
        </w:rPr>
        <w:t>in</w:t>
      </w:r>
      <w:r w:rsidRPr="00E13BDB">
        <w:rPr>
          <w:rFonts w:ascii="Times New Roman" w:hAnsi="Times New Roman" w:cs="Times New Roman"/>
          <w:b/>
          <w:sz w:val="24"/>
          <w:szCs w:val="24"/>
        </w:rPr>
        <w:t xml:space="preserve"> the total column</w:t>
      </w:r>
      <w:r w:rsidR="00C61418" w:rsidRPr="00E13BDB">
        <w:rPr>
          <w:rFonts w:ascii="Times New Roman" w:hAnsi="Times New Roman" w:cs="Times New Roman"/>
          <w:b/>
          <w:sz w:val="24"/>
          <w:szCs w:val="24"/>
        </w:rPr>
        <w:t>, is that correct?</w:t>
      </w:r>
    </w:p>
    <w:p w14:paraId="609DA3F3" w14:textId="77777777" w:rsidR="00E13BDB" w:rsidRDefault="00E13BDB" w:rsidP="00B044F5">
      <w:pPr>
        <w:pStyle w:val="ListParagraph"/>
        <w:spacing w:after="240" w:line="276" w:lineRule="auto"/>
        <w:ind w:left="360"/>
        <w:jc w:val="both"/>
        <w:rPr>
          <w:rFonts w:ascii="Times New Roman" w:hAnsi="Times New Roman" w:cs="Times New Roman"/>
          <w:b/>
          <w:sz w:val="24"/>
          <w:szCs w:val="24"/>
        </w:rPr>
      </w:pPr>
    </w:p>
    <w:p w14:paraId="1AA78276" w14:textId="77777777" w:rsidR="00B95A14" w:rsidRDefault="00B95A14" w:rsidP="00B95A14">
      <w:pPr>
        <w:pStyle w:val="ListParagraph"/>
        <w:spacing w:after="240" w:line="276" w:lineRule="auto"/>
        <w:ind w:left="360"/>
        <w:jc w:val="both"/>
        <w:rPr>
          <w:rFonts w:ascii="Times New Roman" w:hAnsi="Times New Roman"/>
          <w:sz w:val="24"/>
          <w:szCs w:val="24"/>
        </w:rPr>
      </w:pPr>
      <w:r>
        <w:rPr>
          <w:rFonts w:ascii="Times New Roman" w:hAnsi="Times New Roman"/>
          <w:sz w:val="24"/>
          <w:szCs w:val="24"/>
        </w:rPr>
        <w:t xml:space="preserve">For each line item the actual total cost should be listed with the appropriate CSBG percentage. The cost multiplied by the CSBG percentage would give the total CSBG amount. All line items in each section would then be added to reach the total for that section. Therefore, the only amounts included in the totals are CSBG funded amounts and there should not be any amounts from outside sources.  </w:t>
      </w:r>
    </w:p>
    <w:p w14:paraId="2744B2E6" w14:textId="77777777" w:rsidR="00F778CE" w:rsidRPr="00F778CE" w:rsidRDefault="00F778CE" w:rsidP="00B95A14">
      <w:pPr>
        <w:pStyle w:val="ListParagraph"/>
        <w:ind w:left="360"/>
        <w:jc w:val="both"/>
        <w:rPr>
          <w:rFonts w:ascii="Times New Roman" w:hAnsi="Times New Roman" w:cs="Times New Roman"/>
          <w:sz w:val="24"/>
          <w:szCs w:val="24"/>
        </w:rPr>
      </w:pPr>
    </w:p>
    <w:p w14:paraId="118FE6B7" w14:textId="77777777" w:rsidR="00C61418" w:rsidRPr="00DE3838" w:rsidRDefault="00C61418" w:rsidP="00B044F5">
      <w:pPr>
        <w:pStyle w:val="ListParagraph"/>
        <w:numPr>
          <w:ilvl w:val="0"/>
          <w:numId w:val="1"/>
        </w:numPr>
        <w:spacing w:after="240" w:line="276" w:lineRule="auto"/>
        <w:jc w:val="both"/>
        <w:rPr>
          <w:rFonts w:ascii="Times New Roman" w:hAnsi="Times New Roman" w:cs="Times New Roman"/>
          <w:b/>
          <w:sz w:val="24"/>
          <w:szCs w:val="24"/>
        </w:rPr>
      </w:pPr>
      <w:r w:rsidRPr="00DE3838">
        <w:rPr>
          <w:rFonts w:ascii="Times New Roman" w:hAnsi="Times New Roman" w:cs="Times New Roman"/>
          <w:b/>
          <w:sz w:val="24"/>
          <w:szCs w:val="24"/>
        </w:rPr>
        <w:t>Do you want the full cost of the rent of the entire agency</w:t>
      </w:r>
      <w:r w:rsidR="00DE3838">
        <w:rPr>
          <w:rFonts w:ascii="Times New Roman" w:hAnsi="Times New Roman" w:cs="Times New Roman"/>
          <w:b/>
          <w:sz w:val="24"/>
          <w:szCs w:val="24"/>
        </w:rPr>
        <w:t>,</w:t>
      </w:r>
      <w:r w:rsidRPr="00DE3838">
        <w:rPr>
          <w:rFonts w:ascii="Times New Roman" w:hAnsi="Times New Roman" w:cs="Times New Roman"/>
          <w:b/>
          <w:sz w:val="24"/>
          <w:szCs w:val="24"/>
        </w:rPr>
        <w:t xml:space="preserve"> or </w:t>
      </w:r>
      <w:r w:rsidR="00DE3838">
        <w:rPr>
          <w:rFonts w:ascii="Times New Roman" w:hAnsi="Times New Roman" w:cs="Times New Roman"/>
          <w:b/>
          <w:sz w:val="24"/>
          <w:szCs w:val="24"/>
        </w:rPr>
        <w:t xml:space="preserve">the </w:t>
      </w:r>
      <w:r w:rsidRPr="00DE3838">
        <w:rPr>
          <w:rFonts w:ascii="Times New Roman" w:hAnsi="Times New Roman" w:cs="Times New Roman"/>
          <w:b/>
          <w:sz w:val="24"/>
          <w:szCs w:val="24"/>
        </w:rPr>
        <w:t>percent that CSBG funded or total being charged to CSBG funds? – direct or indirect cost coming from CSBG.</w:t>
      </w:r>
    </w:p>
    <w:p w14:paraId="5892C70E" w14:textId="77777777" w:rsidR="00DE3838" w:rsidRDefault="00DE3838" w:rsidP="00B044F5">
      <w:pPr>
        <w:pStyle w:val="ListParagraph"/>
        <w:spacing w:after="240" w:line="276" w:lineRule="auto"/>
        <w:ind w:left="360"/>
        <w:jc w:val="both"/>
        <w:rPr>
          <w:rFonts w:ascii="Times New Roman" w:hAnsi="Times New Roman" w:cs="Times New Roman"/>
          <w:sz w:val="24"/>
          <w:szCs w:val="24"/>
        </w:rPr>
      </w:pPr>
    </w:p>
    <w:p w14:paraId="11EB565B" w14:textId="77777777" w:rsidR="00DE3838" w:rsidRPr="00555F08" w:rsidRDefault="00555F08" w:rsidP="00B044F5">
      <w:pPr>
        <w:pStyle w:val="ListParagraph"/>
        <w:spacing w:after="240" w:line="276" w:lineRule="auto"/>
        <w:ind w:left="360"/>
        <w:jc w:val="both"/>
        <w:rPr>
          <w:rFonts w:ascii="Times New Roman" w:hAnsi="Times New Roman" w:cs="Times New Roman"/>
          <w:sz w:val="24"/>
          <w:szCs w:val="24"/>
        </w:rPr>
      </w:pPr>
      <w:r>
        <w:rPr>
          <w:rFonts w:ascii="Times New Roman" w:hAnsi="Times New Roman" w:cs="Times New Roman"/>
          <w:sz w:val="24"/>
          <w:szCs w:val="24"/>
        </w:rPr>
        <w:t>Please list the full cost of the rent of the agency, along with the percentage that is proposed to be charged to CSBG funds.</w:t>
      </w:r>
    </w:p>
    <w:p w14:paraId="0C5C949D" w14:textId="77777777" w:rsidR="00F778CE" w:rsidRPr="00F778CE" w:rsidRDefault="00F778CE" w:rsidP="00B044F5">
      <w:pPr>
        <w:pStyle w:val="ListParagraph"/>
        <w:jc w:val="both"/>
        <w:rPr>
          <w:rFonts w:ascii="Times New Roman" w:hAnsi="Times New Roman" w:cs="Times New Roman"/>
          <w:sz w:val="24"/>
          <w:szCs w:val="24"/>
        </w:rPr>
      </w:pPr>
    </w:p>
    <w:p w14:paraId="56BDFD50" w14:textId="77777777" w:rsidR="00FD4ADF" w:rsidRPr="00DE3838" w:rsidRDefault="00C61418" w:rsidP="00B044F5">
      <w:pPr>
        <w:pStyle w:val="ListParagraph"/>
        <w:numPr>
          <w:ilvl w:val="0"/>
          <w:numId w:val="1"/>
        </w:numPr>
        <w:spacing w:after="240" w:line="276" w:lineRule="auto"/>
        <w:jc w:val="both"/>
        <w:rPr>
          <w:rFonts w:ascii="Times New Roman" w:hAnsi="Times New Roman" w:cs="Times New Roman"/>
          <w:b/>
          <w:sz w:val="24"/>
          <w:szCs w:val="24"/>
        </w:rPr>
      </w:pPr>
      <w:r w:rsidRPr="00DE3838">
        <w:rPr>
          <w:rFonts w:ascii="Times New Roman" w:hAnsi="Times New Roman" w:cs="Times New Roman"/>
          <w:b/>
          <w:sz w:val="24"/>
          <w:szCs w:val="24"/>
        </w:rPr>
        <w:t>What indirect rate is available if we do not have a letter from a cognizant</w:t>
      </w:r>
      <w:r w:rsidR="00FD4ADF" w:rsidRPr="00DE3838">
        <w:rPr>
          <w:rFonts w:ascii="Times New Roman" w:hAnsi="Times New Roman" w:cs="Times New Roman"/>
          <w:b/>
          <w:sz w:val="24"/>
          <w:szCs w:val="24"/>
        </w:rPr>
        <w:t xml:space="preserve"> agency?</w:t>
      </w:r>
    </w:p>
    <w:p w14:paraId="51ABBB55" w14:textId="77777777" w:rsidR="00F778CE" w:rsidRDefault="00F778CE" w:rsidP="00B044F5">
      <w:pPr>
        <w:pStyle w:val="ListParagraph"/>
        <w:jc w:val="both"/>
        <w:rPr>
          <w:rFonts w:ascii="Times New Roman" w:hAnsi="Times New Roman" w:cs="Times New Roman"/>
          <w:sz w:val="24"/>
          <w:szCs w:val="24"/>
        </w:rPr>
      </w:pPr>
    </w:p>
    <w:p w14:paraId="443E7A7B" w14:textId="77777777" w:rsidR="00B95A14" w:rsidRDefault="00B95A14" w:rsidP="00B95A14">
      <w:pPr>
        <w:pStyle w:val="ListParagraph"/>
        <w:ind w:left="360"/>
        <w:jc w:val="both"/>
        <w:rPr>
          <w:rFonts w:ascii="Times New Roman" w:hAnsi="Times New Roman"/>
          <w:sz w:val="24"/>
          <w:szCs w:val="24"/>
        </w:rPr>
      </w:pPr>
      <w:r>
        <w:rPr>
          <w:rFonts w:ascii="Times New Roman" w:hAnsi="Times New Roman"/>
          <w:sz w:val="24"/>
          <w:szCs w:val="24"/>
        </w:rPr>
        <w:t>A de minimis rate of 10% of the modified total direct costs (MTDC) can be used. The</w:t>
      </w:r>
    </w:p>
    <w:p w14:paraId="2BED88EB" w14:textId="77777777" w:rsidR="00B95A14" w:rsidRDefault="00B95A14" w:rsidP="00B95A14">
      <w:pPr>
        <w:pStyle w:val="ListParagraph"/>
        <w:ind w:left="360"/>
        <w:jc w:val="both"/>
        <w:rPr>
          <w:rFonts w:ascii="Times New Roman" w:hAnsi="Times New Roman"/>
          <w:sz w:val="24"/>
          <w:szCs w:val="24"/>
        </w:rPr>
      </w:pPr>
      <w:r>
        <w:rPr>
          <w:rFonts w:ascii="Times New Roman" w:hAnsi="Times New Roman"/>
          <w:sz w:val="24"/>
          <w:szCs w:val="24"/>
        </w:rPr>
        <w:t xml:space="preserve">Subrecipient must </w:t>
      </w:r>
      <w:r w:rsidRPr="00FD6116">
        <w:rPr>
          <w:rFonts w:ascii="Times New Roman" w:hAnsi="Times New Roman"/>
          <w:sz w:val="24"/>
          <w:szCs w:val="24"/>
          <w:u w:val="single"/>
        </w:rPr>
        <w:t>never</w:t>
      </w:r>
      <w:r>
        <w:rPr>
          <w:rFonts w:ascii="Times New Roman" w:hAnsi="Times New Roman"/>
          <w:sz w:val="24"/>
          <w:szCs w:val="24"/>
        </w:rPr>
        <w:t xml:space="preserve"> have received a prior approved indirect cost rate. Once elected, the de minimis rate must be used consistently for all Federal awards.</w:t>
      </w:r>
    </w:p>
    <w:p w14:paraId="52AA56BE" w14:textId="77777777" w:rsidR="00DE3838" w:rsidRPr="00F778CE" w:rsidRDefault="00DE3838" w:rsidP="00B044F5">
      <w:pPr>
        <w:pStyle w:val="ListParagraph"/>
        <w:ind w:left="360"/>
        <w:jc w:val="both"/>
        <w:rPr>
          <w:rFonts w:ascii="Times New Roman" w:hAnsi="Times New Roman" w:cs="Times New Roman"/>
          <w:sz w:val="24"/>
          <w:szCs w:val="24"/>
        </w:rPr>
      </w:pPr>
    </w:p>
    <w:p w14:paraId="6BCE99C7" w14:textId="77777777" w:rsidR="00F77BDE" w:rsidRDefault="00F77BDE">
      <w:pPr>
        <w:rPr>
          <w:rFonts w:ascii="Times New Roman" w:hAnsi="Times New Roman" w:cs="Times New Roman"/>
          <w:b/>
          <w:sz w:val="24"/>
          <w:szCs w:val="24"/>
        </w:rPr>
      </w:pPr>
      <w:r>
        <w:rPr>
          <w:rFonts w:ascii="Times New Roman" w:hAnsi="Times New Roman" w:cs="Times New Roman"/>
          <w:b/>
          <w:sz w:val="24"/>
          <w:szCs w:val="24"/>
        </w:rPr>
        <w:br w:type="page"/>
      </w:r>
    </w:p>
    <w:p w14:paraId="6FEE5091" w14:textId="77777777" w:rsidR="00C61418" w:rsidRPr="00DE3838" w:rsidRDefault="00FD4ADF" w:rsidP="00B044F5">
      <w:pPr>
        <w:pStyle w:val="ListParagraph"/>
        <w:numPr>
          <w:ilvl w:val="0"/>
          <w:numId w:val="1"/>
        </w:numPr>
        <w:spacing w:after="240" w:line="276" w:lineRule="auto"/>
        <w:jc w:val="both"/>
        <w:rPr>
          <w:rFonts w:ascii="Times New Roman" w:hAnsi="Times New Roman" w:cs="Times New Roman"/>
          <w:b/>
          <w:sz w:val="24"/>
          <w:szCs w:val="24"/>
        </w:rPr>
      </w:pPr>
      <w:r w:rsidRPr="00DE3838">
        <w:rPr>
          <w:rFonts w:ascii="Times New Roman" w:hAnsi="Times New Roman" w:cs="Times New Roman"/>
          <w:b/>
          <w:sz w:val="24"/>
          <w:szCs w:val="24"/>
        </w:rPr>
        <w:lastRenderedPageBreak/>
        <w:t xml:space="preserve">What average budget size do you anticipate? </w:t>
      </w:r>
      <w:r w:rsidR="00C61418" w:rsidRPr="00DE3838">
        <w:rPr>
          <w:rFonts w:ascii="Times New Roman" w:hAnsi="Times New Roman" w:cs="Times New Roman"/>
          <w:b/>
          <w:sz w:val="24"/>
          <w:szCs w:val="24"/>
        </w:rPr>
        <w:t xml:space="preserve"> </w:t>
      </w:r>
      <w:r w:rsidR="00A74CD2" w:rsidRPr="00DE3838">
        <w:rPr>
          <w:rFonts w:ascii="Times New Roman" w:hAnsi="Times New Roman" w:cs="Times New Roman"/>
          <w:b/>
          <w:sz w:val="24"/>
          <w:szCs w:val="24"/>
        </w:rPr>
        <w:t>If you do not know, what was the average budget last program year?</w:t>
      </w:r>
    </w:p>
    <w:p w14:paraId="2495AC76" w14:textId="77777777" w:rsidR="00DE3838" w:rsidRDefault="00DE3838" w:rsidP="00B044F5">
      <w:pPr>
        <w:pStyle w:val="ListParagraph"/>
        <w:spacing w:after="240" w:line="276" w:lineRule="auto"/>
        <w:ind w:left="360"/>
        <w:jc w:val="both"/>
        <w:rPr>
          <w:rFonts w:ascii="Times New Roman" w:hAnsi="Times New Roman" w:cs="Times New Roman"/>
          <w:sz w:val="24"/>
          <w:szCs w:val="24"/>
        </w:rPr>
      </w:pPr>
    </w:p>
    <w:p w14:paraId="1D05DFFE" w14:textId="77777777" w:rsidR="00DE3838" w:rsidRPr="00DE3838" w:rsidRDefault="00DE3838" w:rsidP="00B044F5">
      <w:pPr>
        <w:pStyle w:val="ListParagraph"/>
        <w:spacing w:after="240" w:line="276" w:lineRule="auto"/>
        <w:ind w:left="360"/>
        <w:jc w:val="both"/>
        <w:rPr>
          <w:rFonts w:ascii="Times New Roman" w:hAnsi="Times New Roman" w:cs="Times New Roman"/>
          <w:b/>
          <w:sz w:val="24"/>
          <w:szCs w:val="24"/>
        </w:rPr>
      </w:pPr>
      <w:r>
        <w:rPr>
          <w:rFonts w:ascii="Times New Roman" w:hAnsi="Times New Roman" w:cs="Times New Roman"/>
          <w:sz w:val="24"/>
          <w:szCs w:val="24"/>
        </w:rPr>
        <w:t>The budget sizes for delegate agencies vary greatly with the proposed programs submitted for a given funding period, and depends on t</w:t>
      </w:r>
      <w:r w:rsidR="00C31463">
        <w:rPr>
          <w:rFonts w:ascii="Times New Roman" w:hAnsi="Times New Roman" w:cs="Times New Roman"/>
          <w:sz w:val="24"/>
          <w:szCs w:val="24"/>
        </w:rPr>
        <w:t>he</w:t>
      </w:r>
      <w:r w:rsidR="00555F08">
        <w:rPr>
          <w:rFonts w:ascii="Times New Roman" w:hAnsi="Times New Roman" w:cs="Times New Roman"/>
          <w:sz w:val="24"/>
          <w:szCs w:val="24"/>
        </w:rPr>
        <w:t xml:space="preserve"> type and</w:t>
      </w:r>
      <w:r w:rsidR="00C31463">
        <w:rPr>
          <w:rFonts w:ascii="Times New Roman" w:hAnsi="Times New Roman" w:cs="Times New Roman"/>
          <w:sz w:val="24"/>
          <w:szCs w:val="24"/>
        </w:rPr>
        <w:t xml:space="preserve"> level of service proposed.  Under the Public Information section of the SETA website, past CSBG funding recommendations may be viewed.</w:t>
      </w:r>
    </w:p>
    <w:p w14:paraId="056EE4CD" w14:textId="77777777" w:rsidR="00F778CE" w:rsidRPr="00F778CE" w:rsidRDefault="00F778CE" w:rsidP="00B044F5">
      <w:pPr>
        <w:pStyle w:val="ListParagraph"/>
        <w:jc w:val="both"/>
        <w:rPr>
          <w:rFonts w:ascii="Times New Roman" w:hAnsi="Times New Roman" w:cs="Times New Roman"/>
          <w:sz w:val="24"/>
          <w:szCs w:val="24"/>
        </w:rPr>
      </w:pPr>
    </w:p>
    <w:p w14:paraId="0A4C3191" w14:textId="77777777" w:rsidR="00A74CD2" w:rsidRDefault="00C31463" w:rsidP="00B044F5">
      <w:pPr>
        <w:pStyle w:val="ListParagraph"/>
        <w:numPr>
          <w:ilvl w:val="0"/>
          <w:numId w:val="1"/>
        </w:numPr>
        <w:spacing w:after="240" w:line="276" w:lineRule="auto"/>
        <w:jc w:val="both"/>
        <w:rPr>
          <w:rFonts w:ascii="Times New Roman" w:hAnsi="Times New Roman" w:cs="Times New Roman"/>
          <w:b/>
          <w:sz w:val="24"/>
          <w:szCs w:val="24"/>
        </w:rPr>
      </w:pPr>
      <w:r>
        <w:rPr>
          <w:rFonts w:ascii="Times New Roman" w:hAnsi="Times New Roman" w:cs="Times New Roman"/>
          <w:b/>
          <w:sz w:val="24"/>
          <w:szCs w:val="24"/>
        </w:rPr>
        <w:t>Is the budget for two</w:t>
      </w:r>
      <w:r w:rsidR="000F2664" w:rsidRPr="00C31463">
        <w:rPr>
          <w:rFonts w:ascii="Times New Roman" w:hAnsi="Times New Roman" w:cs="Times New Roman"/>
          <w:b/>
          <w:sz w:val="24"/>
          <w:szCs w:val="24"/>
        </w:rPr>
        <w:t xml:space="preserve"> </w:t>
      </w:r>
      <w:r>
        <w:rPr>
          <w:rFonts w:ascii="Times New Roman" w:hAnsi="Times New Roman" w:cs="Times New Roman"/>
          <w:b/>
          <w:sz w:val="24"/>
          <w:szCs w:val="24"/>
        </w:rPr>
        <w:t>years or one</w:t>
      </w:r>
      <w:r w:rsidR="00A74CD2" w:rsidRPr="00C31463">
        <w:rPr>
          <w:rFonts w:ascii="Times New Roman" w:hAnsi="Times New Roman" w:cs="Times New Roman"/>
          <w:b/>
          <w:sz w:val="24"/>
          <w:szCs w:val="24"/>
        </w:rPr>
        <w:t xml:space="preserve"> year?</w:t>
      </w:r>
    </w:p>
    <w:p w14:paraId="281637C8" w14:textId="77777777" w:rsidR="00C31463" w:rsidRDefault="00C31463" w:rsidP="00B044F5">
      <w:pPr>
        <w:pStyle w:val="ListParagraph"/>
        <w:spacing w:after="240" w:line="276" w:lineRule="auto"/>
        <w:ind w:left="360"/>
        <w:jc w:val="both"/>
        <w:rPr>
          <w:rFonts w:ascii="Times New Roman" w:hAnsi="Times New Roman" w:cs="Times New Roman"/>
          <w:b/>
          <w:sz w:val="24"/>
          <w:szCs w:val="24"/>
        </w:rPr>
      </w:pPr>
    </w:p>
    <w:p w14:paraId="7766BEA8" w14:textId="77777777" w:rsidR="00C31463" w:rsidRPr="00C31463" w:rsidRDefault="00C31463" w:rsidP="00B044F5">
      <w:pPr>
        <w:pStyle w:val="ListParagraph"/>
        <w:spacing w:after="24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CSBG </w:t>
      </w:r>
      <w:r w:rsidR="0073259A">
        <w:rPr>
          <w:rFonts w:ascii="Times New Roman" w:hAnsi="Times New Roman" w:cs="Times New Roman"/>
          <w:sz w:val="24"/>
          <w:szCs w:val="24"/>
        </w:rPr>
        <w:t xml:space="preserve">funds are awarded for a one-year contract, renewable for a second year.  Proposing agencies should complete the </w:t>
      </w:r>
      <w:r w:rsidR="00CB6E6C">
        <w:rPr>
          <w:rFonts w:ascii="Times New Roman" w:hAnsi="Times New Roman" w:cs="Times New Roman"/>
          <w:sz w:val="24"/>
          <w:szCs w:val="24"/>
        </w:rPr>
        <w:t xml:space="preserve">RFP </w:t>
      </w:r>
      <w:r w:rsidR="0073259A">
        <w:rPr>
          <w:rFonts w:ascii="Times New Roman" w:hAnsi="Times New Roman" w:cs="Times New Roman"/>
          <w:sz w:val="24"/>
          <w:szCs w:val="24"/>
        </w:rPr>
        <w:t>budget forms to reflect one year’s expenditures.</w:t>
      </w:r>
    </w:p>
    <w:p w14:paraId="3BAD2C6A" w14:textId="77777777" w:rsidR="00F778CE" w:rsidRPr="00F778CE" w:rsidRDefault="00F778CE" w:rsidP="00B044F5">
      <w:pPr>
        <w:pStyle w:val="ListParagraph"/>
        <w:jc w:val="both"/>
        <w:rPr>
          <w:rFonts w:ascii="Times New Roman" w:hAnsi="Times New Roman" w:cs="Times New Roman"/>
          <w:sz w:val="24"/>
          <w:szCs w:val="24"/>
        </w:rPr>
      </w:pPr>
    </w:p>
    <w:p w14:paraId="7D8DC23C" w14:textId="77777777" w:rsidR="00A74CD2" w:rsidRPr="00CB6E6C" w:rsidRDefault="00A74CD2" w:rsidP="00B044F5">
      <w:pPr>
        <w:pStyle w:val="ListParagraph"/>
        <w:numPr>
          <w:ilvl w:val="0"/>
          <w:numId w:val="1"/>
        </w:numPr>
        <w:spacing w:after="240" w:line="276" w:lineRule="auto"/>
        <w:jc w:val="both"/>
        <w:rPr>
          <w:rFonts w:ascii="Times New Roman" w:hAnsi="Times New Roman" w:cs="Times New Roman"/>
          <w:b/>
          <w:sz w:val="24"/>
          <w:szCs w:val="24"/>
        </w:rPr>
      </w:pPr>
      <w:r w:rsidRPr="00CB6E6C">
        <w:rPr>
          <w:rFonts w:ascii="Times New Roman" w:hAnsi="Times New Roman" w:cs="Times New Roman"/>
          <w:b/>
          <w:sz w:val="24"/>
          <w:szCs w:val="24"/>
        </w:rPr>
        <w:t>Can providers see past performance prior to scoring?</w:t>
      </w:r>
    </w:p>
    <w:p w14:paraId="42616EEF" w14:textId="74680504" w:rsidR="00F778CE" w:rsidRDefault="008F7C43" w:rsidP="00990A52">
      <w:pPr>
        <w:ind w:left="360"/>
        <w:jc w:val="both"/>
        <w:rPr>
          <w:rFonts w:ascii="Times New Roman" w:hAnsi="Times New Roman" w:cs="Times New Roman"/>
          <w:sz w:val="24"/>
          <w:szCs w:val="24"/>
        </w:rPr>
      </w:pPr>
      <w:r>
        <w:rPr>
          <w:rFonts w:ascii="Times New Roman" w:hAnsi="Times New Roman" w:cs="Times New Roman"/>
          <w:sz w:val="24"/>
          <w:szCs w:val="24"/>
        </w:rPr>
        <w:t>SETA CSBG recommendations for Plan Year 2018</w:t>
      </w:r>
      <w:r w:rsidR="00080BF9">
        <w:rPr>
          <w:rFonts w:ascii="Times New Roman" w:hAnsi="Times New Roman" w:cs="Times New Roman"/>
          <w:sz w:val="24"/>
          <w:szCs w:val="24"/>
        </w:rPr>
        <w:t>/19</w:t>
      </w:r>
      <w:r>
        <w:rPr>
          <w:rFonts w:ascii="Times New Roman" w:hAnsi="Times New Roman" w:cs="Times New Roman"/>
          <w:sz w:val="24"/>
          <w:szCs w:val="24"/>
        </w:rPr>
        <w:t xml:space="preserve"> can be reviewed on the SETA website, under </w:t>
      </w:r>
      <w:r w:rsidR="00E1699C">
        <w:rPr>
          <w:rFonts w:ascii="Times New Roman" w:hAnsi="Times New Roman" w:cs="Times New Roman"/>
          <w:sz w:val="24"/>
          <w:szCs w:val="24"/>
        </w:rPr>
        <w:t>“</w:t>
      </w:r>
      <w:r>
        <w:rPr>
          <w:rFonts w:ascii="Times New Roman" w:hAnsi="Times New Roman" w:cs="Times New Roman"/>
          <w:sz w:val="24"/>
          <w:szCs w:val="24"/>
        </w:rPr>
        <w:t>Public Information</w:t>
      </w:r>
      <w:r w:rsidR="00E1699C">
        <w:rPr>
          <w:rFonts w:ascii="Times New Roman" w:hAnsi="Times New Roman" w:cs="Times New Roman"/>
          <w:sz w:val="24"/>
          <w:szCs w:val="24"/>
        </w:rPr>
        <w:t>”</w:t>
      </w:r>
      <w:r>
        <w:rPr>
          <w:rFonts w:ascii="Times New Roman" w:hAnsi="Times New Roman" w:cs="Times New Roman"/>
          <w:sz w:val="24"/>
          <w:szCs w:val="24"/>
        </w:rPr>
        <w:t xml:space="preserve">.  </w:t>
      </w:r>
      <w:r w:rsidR="00080BF9">
        <w:rPr>
          <w:rFonts w:ascii="Times New Roman" w:hAnsi="Times New Roman" w:cs="Times New Roman"/>
          <w:sz w:val="24"/>
          <w:szCs w:val="24"/>
        </w:rPr>
        <w:t>We do not share past performance reviews with providers prior to scoring, but performance indicators would have been made available through prior years’ monitoring results which are made available to provider agencies.</w:t>
      </w:r>
      <w:r w:rsidR="00E1699C">
        <w:rPr>
          <w:rFonts w:ascii="Times New Roman" w:hAnsi="Times New Roman" w:cs="Times New Roman"/>
          <w:sz w:val="24"/>
          <w:szCs w:val="24"/>
        </w:rPr>
        <w:t xml:space="preserve">  </w:t>
      </w:r>
      <w:r w:rsidR="00652940">
        <w:rPr>
          <w:rFonts w:ascii="Times New Roman" w:hAnsi="Times New Roman" w:cs="Times New Roman"/>
          <w:sz w:val="24"/>
          <w:szCs w:val="24"/>
        </w:rPr>
        <w:t>CSBG p</w:t>
      </w:r>
      <w:r w:rsidR="00E1699C">
        <w:rPr>
          <w:rFonts w:ascii="Times New Roman" w:hAnsi="Times New Roman" w:cs="Times New Roman"/>
          <w:sz w:val="24"/>
          <w:szCs w:val="24"/>
        </w:rPr>
        <w:t>erformance reports</w:t>
      </w:r>
      <w:r w:rsidR="00652940">
        <w:rPr>
          <w:rFonts w:ascii="Times New Roman" w:hAnsi="Times New Roman" w:cs="Times New Roman"/>
          <w:sz w:val="24"/>
          <w:szCs w:val="24"/>
        </w:rPr>
        <w:t xml:space="preserve"> in the Community Action Board packets</w:t>
      </w:r>
      <w:r w:rsidR="00E1699C">
        <w:rPr>
          <w:rFonts w:ascii="Times New Roman" w:hAnsi="Times New Roman" w:cs="Times New Roman"/>
          <w:sz w:val="24"/>
          <w:szCs w:val="24"/>
        </w:rPr>
        <w:t xml:space="preserve"> can be reviewed on the SETA website under “Board Operations/Board Agendas”.</w:t>
      </w:r>
    </w:p>
    <w:p w14:paraId="2EE99979" w14:textId="77777777" w:rsidR="00990A52" w:rsidRPr="00990A52" w:rsidRDefault="00990A52" w:rsidP="00990A52">
      <w:pPr>
        <w:ind w:left="360"/>
        <w:jc w:val="both"/>
        <w:rPr>
          <w:rFonts w:ascii="Times New Roman" w:hAnsi="Times New Roman" w:cs="Times New Roman"/>
          <w:sz w:val="24"/>
          <w:szCs w:val="24"/>
        </w:rPr>
      </w:pPr>
    </w:p>
    <w:p w14:paraId="52B177D8" w14:textId="77777777" w:rsidR="00A74CD2" w:rsidRPr="00CB6E6C" w:rsidRDefault="00990A52" w:rsidP="00B044F5">
      <w:pPr>
        <w:pStyle w:val="ListParagraph"/>
        <w:numPr>
          <w:ilvl w:val="0"/>
          <w:numId w:val="1"/>
        </w:numPr>
        <w:spacing w:after="240" w:line="276" w:lineRule="auto"/>
        <w:jc w:val="both"/>
        <w:rPr>
          <w:rFonts w:ascii="Times New Roman" w:hAnsi="Times New Roman" w:cs="Times New Roman"/>
          <w:b/>
          <w:sz w:val="24"/>
          <w:szCs w:val="24"/>
        </w:rPr>
      </w:pPr>
      <w:r>
        <w:rPr>
          <w:rFonts w:ascii="Times New Roman" w:hAnsi="Times New Roman" w:cs="Times New Roman"/>
          <w:b/>
          <w:sz w:val="24"/>
          <w:szCs w:val="24"/>
        </w:rPr>
        <w:t>Do agencies submit a</w:t>
      </w:r>
      <w:r w:rsidR="00A74CD2" w:rsidRPr="00CB6E6C">
        <w:rPr>
          <w:rFonts w:ascii="Times New Roman" w:hAnsi="Times New Roman" w:cs="Times New Roman"/>
          <w:b/>
          <w:sz w:val="24"/>
          <w:szCs w:val="24"/>
        </w:rPr>
        <w:t xml:space="preserve"> proposal/budget every year?</w:t>
      </w:r>
    </w:p>
    <w:p w14:paraId="7D4F7ED8" w14:textId="77777777" w:rsidR="00F778CE" w:rsidRDefault="00F778CE" w:rsidP="00B044F5">
      <w:pPr>
        <w:pStyle w:val="ListParagraph"/>
        <w:ind w:left="360"/>
        <w:jc w:val="both"/>
        <w:rPr>
          <w:rFonts w:ascii="Times New Roman" w:hAnsi="Times New Roman" w:cs="Times New Roman"/>
          <w:sz w:val="24"/>
          <w:szCs w:val="24"/>
        </w:rPr>
      </w:pPr>
    </w:p>
    <w:p w14:paraId="6DC21B74" w14:textId="55956C4E" w:rsidR="00CB6E6C" w:rsidRPr="00C31463" w:rsidRDefault="00CB6E6C" w:rsidP="00B044F5">
      <w:pPr>
        <w:pStyle w:val="ListParagraph"/>
        <w:spacing w:after="24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CSBG programs are awarded a one-year contract, renewable for a second year.  It is not necessary to submit a proposal </w:t>
      </w:r>
      <w:r w:rsidR="005B6DCF">
        <w:rPr>
          <w:rFonts w:ascii="Times New Roman" w:hAnsi="Times New Roman" w:cs="Times New Roman"/>
          <w:sz w:val="24"/>
          <w:szCs w:val="24"/>
        </w:rPr>
        <w:t xml:space="preserve">for </w:t>
      </w:r>
      <w:r>
        <w:rPr>
          <w:rFonts w:ascii="Times New Roman" w:hAnsi="Times New Roman" w:cs="Times New Roman"/>
          <w:sz w:val="24"/>
          <w:szCs w:val="24"/>
        </w:rPr>
        <w:t>the second year; funding for the second year is contingent upon successful performance the first year, and may be revised as a result of shift</w:t>
      </w:r>
      <w:r w:rsidR="005B6DCF">
        <w:rPr>
          <w:rFonts w:ascii="Times New Roman" w:hAnsi="Times New Roman" w:cs="Times New Roman"/>
          <w:sz w:val="24"/>
          <w:szCs w:val="24"/>
        </w:rPr>
        <w:t>s</w:t>
      </w:r>
      <w:r>
        <w:rPr>
          <w:rFonts w:ascii="Times New Roman" w:hAnsi="Times New Roman" w:cs="Times New Roman"/>
          <w:sz w:val="24"/>
          <w:szCs w:val="24"/>
        </w:rPr>
        <w:t xml:space="preserve"> in federal funding allocations or regulations.  Proposing agencies should complete the RFP budget forms to reflect one year’s expenditures.</w:t>
      </w:r>
    </w:p>
    <w:p w14:paraId="4AA41C10" w14:textId="77777777" w:rsidR="00CB6E6C" w:rsidRPr="00F778CE" w:rsidRDefault="00CB6E6C" w:rsidP="00B044F5">
      <w:pPr>
        <w:pStyle w:val="ListParagraph"/>
        <w:ind w:left="360"/>
        <w:jc w:val="both"/>
        <w:rPr>
          <w:rFonts w:ascii="Times New Roman" w:hAnsi="Times New Roman" w:cs="Times New Roman"/>
          <w:sz w:val="24"/>
          <w:szCs w:val="24"/>
        </w:rPr>
      </w:pPr>
    </w:p>
    <w:p w14:paraId="14D57372" w14:textId="77777777" w:rsidR="00A74CD2" w:rsidRDefault="00A74CD2" w:rsidP="00B044F5">
      <w:pPr>
        <w:pStyle w:val="ListParagraph"/>
        <w:numPr>
          <w:ilvl w:val="0"/>
          <w:numId w:val="1"/>
        </w:numPr>
        <w:spacing w:after="240" w:line="276" w:lineRule="auto"/>
        <w:jc w:val="both"/>
        <w:rPr>
          <w:rFonts w:ascii="Times New Roman" w:hAnsi="Times New Roman" w:cs="Times New Roman"/>
          <w:b/>
          <w:sz w:val="24"/>
          <w:szCs w:val="24"/>
        </w:rPr>
      </w:pPr>
      <w:r w:rsidRPr="00CB6E6C">
        <w:rPr>
          <w:rFonts w:ascii="Times New Roman" w:hAnsi="Times New Roman" w:cs="Times New Roman"/>
          <w:b/>
          <w:sz w:val="24"/>
          <w:szCs w:val="24"/>
        </w:rPr>
        <w:t xml:space="preserve">How many awards do you anticipate for each program </w:t>
      </w:r>
      <w:r w:rsidR="000F2664" w:rsidRPr="00CB6E6C">
        <w:rPr>
          <w:rFonts w:ascii="Times New Roman" w:hAnsi="Times New Roman" w:cs="Times New Roman"/>
          <w:b/>
          <w:sz w:val="24"/>
          <w:szCs w:val="24"/>
        </w:rPr>
        <w:t>type (FSS, YSS, SN)</w:t>
      </w:r>
      <w:r w:rsidRPr="00CB6E6C">
        <w:rPr>
          <w:rFonts w:ascii="Times New Roman" w:hAnsi="Times New Roman" w:cs="Times New Roman"/>
          <w:b/>
          <w:sz w:val="24"/>
          <w:szCs w:val="24"/>
        </w:rPr>
        <w:t>?</w:t>
      </w:r>
    </w:p>
    <w:p w14:paraId="5BBAA9E3" w14:textId="77777777" w:rsidR="00CB6E6C" w:rsidRDefault="00CB6E6C" w:rsidP="00B044F5">
      <w:pPr>
        <w:pStyle w:val="ListParagraph"/>
        <w:spacing w:after="240" w:line="276" w:lineRule="auto"/>
        <w:ind w:left="360"/>
        <w:jc w:val="both"/>
        <w:rPr>
          <w:rFonts w:ascii="Times New Roman" w:hAnsi="Times New Roman" w:cs="Times New Roman"/>
          <w:b/>
          <w:sz w:val="24"/>
          <w:szCs w:val="24"/>
        </w:rPr>
      </w:pPr>
    </w:p>
    <w:p w14:paraId="231462A0" w14:textId="77777777" w:rsidR="00CB6E6C" w:rsidRPr="00CB6E6C" w:rsidRDefault="00CB6E6C" w:rsidP="00B044F5">
      <w:pPr>
        <w:pStyle w:val="ListParagraph"/>
        <w:spacing w:after="240" w:line="276" w:lineRule="auto"/>
        <w:ind w:left="360"/>
        <w:jc w:val="both"/>
        <w:rPr>
          <w:rFonts w:ascii="Times New Roman" w:hAnsi="Times New Roman" w:cs="Times New Roman"/>
          <w:sz w:val="24"/>
          <w:szCs w:val="24"/>
        </w:rPr>
      </w:pPr>
      <w:r>
        <w:rPr>
          <w:rFonts w:ascii="Times New Roman" w:hAnsi="Times New Roman" w:cs="Times New Roman"/>
          <w:sz w:val="24"/>
          <w:szCs w:val="24"/>
        </w:rPr>
        <w:t>Estimated funds have been divided between FSS ($330,000), YSS ($185,000), and SN ($330,000)</w:t>
      </w:r>
      <w:r w:rsidR="002D3BA5">
        <w:rPr>
          <w:rFonts w:ascii="Times New Roman" w:hAnsi="Times New Roman" w:cs="Times New Roman"/>
          <w:sz w:val="24"/>
          <w:szCs w:val="24"/>
        </w:rPr>
        <w:t>, and are</w:t>
      </w:r>
      <w:r>
        <w:rPr>
          <w:rFonts w:ascii="Times New Roman" w:hAnsi="Times New Roman" w:cs="Times New Roman"/>
          <w:sz w:val="24"/>
          <w:szCs w:val="24"/>
        </w:rPr>
        <w:t xml:space="preserve"> based on the current federal funding allocation to SETA.  </w:t>
      </w:r>
      <w:r w:rsidR="002D3BA5">
        <w:rPr>
          <w:rFonts w:ascii="Times New Roman" w:hAnsi="Times New Roman" w:cs="Times New Roman"/>
          <w:sz w:val="24"/>
          <w:szCs w:val="24"/>
        </w:rPr>
        <w:t xml:space="preserve"> The number of awards will be determined by the number of successful proposals per funding category, balanced against the pro</w:t>
      </w:r>
      <w:r w:rsidR="00812134">
        <w:rPr>
          <w:rFonts w:ascii="Times New Roman" w:hAnsi="Times New Roman" w:cs="Times New Roman"/>
          <w:sz w:val="24"/>
          <w:szCs w:val="24"/>
        </w:rPr>
        <w:t>posed budgets for those agencies</w:t>
      </w:r>
      <w:r w:rsidR="002D3BA5">
        <w:rPr>
          <w:rFonts w:ascii="Times New Roman" w:hAnsi="Times New Roman" w:cs="Times New Roman"/>
          <w:sz w:val="24"/>
          <w:szCs w:val="24"/>
        </w:rPr>
        <w:t>.  Past CSBG awards may be seen by reviewing the Public Information section of SETA’s website.</w:t>
      </w:r>
    </w:p>
    <w:p w14:paraId="601862F3" w14:textId="77777777" w:rsidR="000F2664" w:rsidRPr="000F2664" w:rsidRDefault="000F2664" w:rsidP="00B044F5">
      <w:pPr>
        <w:pStyle w:val="ListParagraph"/>
        <w:jc w:val="both"/>
        <w:rPr>
          <w:rFonts w:ascii="Times New Roman" w:hAnsi="Times New Roman" w:cs="Times New Roman"/>
          <w:sz w:val="24"/>
          <w:szCs w:val="24"/>
        </w:rPr>
      </w:pPr>
    </w:p>
    <w:p w14:paraId="2298E16A" w14:textId="77777777" w:rsidR="002D3BA5" w:rsidRDefault="002D3BA5" w:rsidP="00B044F5">
      <w:pPr>
        <w:pStyle w:val="ListParagraph"/>
        <w:numPr>
          <w:ilvl w:val="0"/>
          <w:numId w:val="1"/>
        </w:numPr>
        <w:spacing w:after="240" w:line="276" w:lineRule="auto"/>
        <w:jc w:val="both"/>
        <w:rPr>
          <w:rFonts w:ascii="Times New Roman" w:hAnsi="Times New Roman" w:cs="Times New Roman"/>
          <w:b/>
          <w:sz w:val="24"/>
          <w:szCs w:val="24"/>
        </w:rPr>
      </w:pPr>
      <w:r>
        <w:rPr>
          <w:rFonts w:ascii="Times New Roman" w:hAnsi="Times New Roman" w:cs="Times New Roman"/>
          <w:b/>
          <w:sz w:val="24"/>
          <w:szCs w:val="24"/>
        </w:rPr>
        <w:t>Regarding</w:t>
      </w:r>
      <w:r w:rsidR="00A74CD2" w:rsidRPr="002D3BA5">
        <w:rPr>
          <w:rFonts w:ascii="Times New Roman" w:hAnsi="Times New Roman" w:cs="Times New Roman"/>
          <w:b/>
          <w:sz w:val="24"/>
          <w:szCs w:val="24"/>
        </w:rPr>
        <w:t xml:space="preserve"> </w:t>
      </w:r>
      <w:r w:rsidR="00741B76" w:rsidRPr="002D3BA5">
        <w:rPr>
          <w:rFonts w:ascii="Times New Roman" w:hAnsi="Times New Roman" w:cs="Times New Roman"/>
          <w:b/>
          <w:sz w:val="24"/>
          <w:szCs w:val="24"/>
        </w:rPr>
        <w:t>entities are providing services other t</w:t>
      </w:r>
      <w:r>
        <w:rPr>
          <w:rFonts w:ascii="Times New Roman" w:hAnsi="Times New Roman" w:cs="Times New Roman"/>
          <w:b/>
          <w:sz w:val="24"/>
          <w:szCs w:val="24"/>
        </w:rPr>
        <w:t>han the proposers in Response 1, do we list the name only?</w:t>
      </w:r>
    </w:p>
    <w:p w14:paraId="5E0C70E1" w14:textId="77777777" w:rsidR="002D3BA5" w:rsidRDefault="002D3BA5" w:rsidP="00B044F5">
      <w:pPr>
        <w:pStyle w:val="ListParagraph"/>
        <w:spacing w:after="240" w:line="276" w:lineRule="auto"/>
        <w:ind w:left="360"/>
        <w:jc w:val="both"/>
        <w:rPr>
          <w:rFonts w:ascii="Times New Roman" w:hAnsi="Times New Roman" w:cs="Times New Roman"/>
          <w:b/>
          <w:sz w:val="24"/>
          <w:szCs w:val="24"/>
        </w:rPr>
      </w:pPr>
    </w:p>
    <w:p w14:paraId="1E534B9F" w14:textId="77777777" w:rsidR="002D3BA5" w:rsidRPr="002D3BA5" w:rsidRDefault="002D3BA5" w:rsidP="00B044F5">
      <w:pPr>
        <w:pStyle w:val="ListParagraph"/>
        <w:spacing w:after="240" w:line="276"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The purpose of asking for entities providing similar services, in Response 1, is for the proposer to show that their agency is providing a unique service, and is not already being provided by other agencies/organizations to the target population.</w:t>
      </w:r>
    </w:p>
    <w:p w14:paraId="7C88CB1B" w14:textId="77777777" w:rsidR="00F778CE" w:rsidRPr="00F778CE" w:rsidRDefault="00F778CE" w:rsidP="00B044F5">
      <w:pPr>
        <w:pStyle w:val="ListParagraph"/>
        <w:spacing w:after="240" w:line="276" w:lineRule="auto"/>
        <w:ind w:left="360"/>
        <w:jc w:val="both"/>
        <w:rPr>
          <w:rFonts w:ascii="Times New Roman" w:hAnsi="Times New Roman" w:cs="Times New Roman"/>
          <w:sz w:val="24"/>
          <w:szCs w:val="24"/>
        </w:rPr>
      </w:pPr>
    </w:p>
    <w:p w14:paraId="26E4BB6D" w14:textId="77777777" w:rsidR="009D1E51" w:rsidRPr="002D3BA5" w:rsidRDefault="009D1E51" w:rsidP="00B044F5">
      <w:pPr>
        <w:pStyle w:val="ListParagraph"/>
        <w:numPr>
          <w:ilvl w:val="0"/>
          <w:numId w:val="1"/>
        </w:numPr>
        <w:spacing w:after="240" w:line="276" w:lineRule="auto"/>
        <w:jc w:val="both"/>
        <w:rPr>
          <w:rFonts w:ascii="Times New Roman" w:hAnsi="Times New Roman" w:cs="Times New Roman"/>
          <w:b/>
          <w:sz w:val="24"/>
          <w:szCs w:val="24"/>
        </w:rPr>
      </w:pPr>
      <w:r w:rsidRPr="002D3BA5">
        <w:rPr>
          <w:rFonts w:ascii="Times New Roman" w:hAnsi="Times New Roman" w:cs="Times New Roman"/>
          <w:b/>
          <w:sz w:val="24"/>
          <w:szCs w:val="24"/>
        </w:rPr>
        <w:t>Can one proposal include two programs?</w:t>
      </w:r>
    </w:p>
    <w:p w14:paraId="2FF71EBD" w14:textId="77777777" w:rsidR="002D3BA5" w:rsidRDefault="002D3BA5" w:rsidP="00B044F5">
      <w:pPr>
        <w:pStyle w:val="ListParagraph"/>
        <w:spacing w:after="240" w:line="276" w:lineRule="auto"/>
        <w:ind w:left="360"/>
        <w:jc w:val="both"/>
        <w:rPr>
          <w:rFonts w:ascii="Times New Roman" w:hAnsi="Times New Roman" w:cs="Times New Roman"/>
          <w:sz w:val="24"/>
          <w:szCs w:val="24"/>
        </w:rPr>
      </w:pPr>
    </w:p>
    <w:p w14:paraId="3662FFD8" w14:textId="77777777" w:rsidR="002D3BA5" w:rsidRPr="002D3BA5" w:rsidRDefault="002D3BA5" w:rsidP="00B044F5">
      <w:pPr>
        <w:pStyle w:val="ListParagraph"/>
        <w:spacing w:after="240" w:line="276" w:lineRule="auto"/>
        <w:ind w:left="360"/>
        <w:jc w:val="both"/>
        <w:rPr>
          <w:rFonts w:ascii="Times New Roman" w:hAnsi="Times New Roman" w:cs="Times New Roman"/>
          <w:b/>
          <w:sz w:val="24"/>
          <w:szCs w:val="24"/>
        </w:rPr>
      </w:pPr>
      <w:r>
        <w:rPr>
          <w:rFonts w:ascii="Times New Roman" w:hAnsi="Times New Roman" w:cs="Times New Roman"/>
          <w:sz w:val="24"/>
          <w:szCs w:val="24"/>
        </w:rPr>
        <w:t>One agency can propose to offer multiple programs; however, Family Self-Sufficiency, Youth &amp; Senior Supports</w:t>
      </w:r>
      <w:r w:rsidR="00F1429E">
        <w:rPr>
          <w:rFonts w:ascii="Times New Roman" w:hAnsi="Times New Roman" w:cs="Times New Roman"/>
          <w:sz w:val="24"/>
          <w:szCs w:val="24"/>
        </w:rPr>
        <w:t xml:space="preserve"> (two separate proposals if responding to the youth and the senior support programs)</w:t>
      </w:r>
      <w:r>
        <w:rPr>
          <w:rFonts w:ascii="Times New Roman" w:hAnsi="Times New Roman" w:cs="Times New Roman"/>
          <w:sz w:val="24"/>
          <w:szCs w:val="24"/>
        </w:rPr>
        <w:t>, and Safety-Net programs must be submitted as separate proposals.</w:t>
      </w:r>
    </w:p>
    <w:p w14:paraId="0EFDCA61" w14:textId="77777777" w:rsidR="00F778CE" w:rsidRPr="00F778CE" w:rsidRDefault="00F778CE" w:rsidP="00B044F5">
      <w:pPr>
        <w:pStyle w:val="ListParagraph"/>
        <w:jc w:val="both"/>
        <w:rPr>
          <w:rFonts w:ascii="Times New Roman" w:hAnsi="Times New Roman" w:cs="Times New Roman"/>
          <w:sz w:val="24"/>
          <w:szCs w:val="24"/>
        </w:rPr>
      </w:pPr>
    </w:p>
    <w:p w14:paraId="39499499" w14:textId="77777777" w:rsidR="009D1E51" w:rsidRDefault="009D1E51" w:rsidP="00B044F5">
      <w:pPr>
        <w:pStyle w:val="ListParagraph"/>
        <w:numPr>
          <w:ilvl w:val="0"/>
          <w:numId w:val="1"/>
        </w:numPr>
        <w:spacing w:after="240" w:line="276" w:lineRule="auto"/>
        <w:jc w:val="both"/>
        <w:rPr>
          <w:rFonts w:ascii="Times New Roman" w:hAnsi="Times New Roman" w:cs="Times New Roman"/>
          <w:b/>
          <w:sz w:val="24"/>
          <w:szCs w:val="24"/>
        </w:rPr>
      </w:pPr>
      <w:r w:rsidRPr="002D3BA5">
        <w:rPr>
          <w:rFonts w:ascii="Times New Roman" w:hAnsi="Times New Roman" w:cs="Times New Roman"/>
          <w:b/>
          <w:sz w:val="24"/>
          <w:szCs w:val="24"/>
        </w:rPr>
        <w:t>In the proposal, should it include all different components such as case mana</w:t>
      </w:r>
      <w:r w:rsidR="00812134">
        <w:rPr>
          <w:rFonts w:ascii="Times New Roman" w:hAnsi="Times New Roman" w:cs="Times New Roman"/>
          <w:b/>
          <w:sz w:val="24"/>
          <w:szCs w:val="24"/>
        </w:rPr>
        <w:t xml:space="preserve">gement, workshops, and training? – do </w:t>
      </w:r>
      <w:r w:rsidRPr="002D3BA5">
        <w:rPr>
          <w:rFonts w:ascii="Times New Roman" w:hAnsi="Times New Roman" w:cs="Times New Roman"/>
          <w:b/>
          <w:sz w:val="24"/>
          <w:szCs w:val="24"/>
        </w:rPr>
        <w:t>we have to cover all areas</w:t>
      </w:r>
      <w:r w:rsidR="00812134">
        <w:rPr>
          <w:rFonts w:ascii="Times New Roman" w:hAnsi="Times New Roman" w:cs="Times New Roman"/>
          <w:b/>
          <w:sz w:val="24"/>
          <w:szCs w:val="24"/>
        </w:rPr>
        <w:t>,</w:t>
      </w:r>
      <w:r w:rsidRPr="002D3BA5">
        <w:rPr>
          <w:rFonts w:ascii="Times New Roman" w:hAnsi="Times New Roman" w:cs="Times New Roman"/>
          <w:b/>
          <w:sz w:val="24"/>
          <w:szCs w:val="24"/>
        </w:rPr>
        <w:t xml:space="preserve"> or </w:t>
      </w:r>
      <w:r w:rsidR="00812134">
        <w:rPr>
          <w:rFonts w:ascii="Times New Roman" w:hAnsi="Times New Roman" w:cs="Times New Roman"/>
          <w:b/>
          <w:sz w:val="24"/>
          <w:szCs w:val="24"/>
        </w:rPr>
        <w:t xml:space="preserve">can we </w:t>
      </w:r>
      <w:r w:rsidRPr="002D3BA5">
        <w:rPr>
          <w:rFonts w:ascii="Times New Roman" w:hAnsi="Times New Roman" w:cs="Times New Roman"/>
          <w:b/>
          <w:sz w:val="24"/>
          <w:szCs w:val="24"/>
        </w:rPr>
        <w:t>pick and choose?</w:t>
      </w:r>
    </w:p>
    <w:p w14:paraId="56D6959C" w14:textId="77777777" w:rsidR="002D3BA5" w:rsidRDefault="002D3BA5" w:rsidP="00B044F5">
      <w:pPr>
        <w:pStyle w:val="ListParagraph"/>
        <w:spacing w:after="240" w:line="276" w:lineRule="auto"/>
        <w:ind w:left="360"/>
        <w:jc w:val="both"/>
        <w:rPr>
          <w:rFonts w:ascii="Times New Roman" w:hAnsi="Times New Roman" w:cs="Times New Roman"/>
          <w:b/>
          <w:sz w:val="24"/>
          <w:szCs w:val="24"/>
        </w:rPr>
      </w:pPr>
    </w:p>
    <w:p w14:paraId="01366E52" w14:textId="6068BDEE" w:rsidR="002D3BA5" w:rsidRPr="002D3BA5" w:rsidRDefault="002D3BA5" w:rsidP="00B044F5">
      <w:pPr>
        <w:pStyle w:val="ListParagraph"/>
        <w:spacing w:after="240" w:line="276" w:lineRule="auto"/>
        <w:ind w:left="360"/>
        <w:jc w:val="both"/>
        <w:rPr>
          <w:rFonts w:ascii="Times New Roman" w:hAnsi="Times New Roman" w:cs="Times New Roman"/>
          <w:sz w:val="24"/>
          <w:szCs w:val="24"/>
        </w:rPr>
      </w:pPr>
      <w:r>
        <w:rPr>
          <w:rFonts w:ascii="Times New Roman" w:hAnsi="Times New Roman" w:cs="Times New Roman"/>
          <w:sz w:val="24"/>
          <w:szCs w:val="24"/>
        </w:rPr>
        <w:t>Case-managed programs</w:t>
      </w:r>
      <w:r w:rsidR="00E908CC">
        <w:rPr>
          <w:rFonts w:ascii="Times New Roman" w:hAnsi="Times New Roman" w:cs="Times New Roman"/>
          <w:sz w:val="24"/>
          <w:szCs w:val="24"/>
        </w:rPr>
        <w:t xml:space="preserve"> (meaning, FSS and YSS programs)</w:t>
      </w:r>
      <w:r>
        <w:rPr>
          <w:rFonts w:ascii="Times New Roman" w:hAnsi="Times New Roman" w:cs="Times New Roman"/>
          <w:sz w:val="24"/>
          <w:szCs w:val="24"/>
        </w:rPr>
        <w:t xml:space="preserve"> need to include all elements of case management</w:t>
      </w:r>
      <w:r w:rsidR="00096010">
        <w:rPr>
          <w:rFonts w:ascii="Times New Roman" w:hAnsi="Times New Roman" w:cs="Times New Roman"/>
          <w:sz w:val="24"/>
          <w:szCs w:val="24"/>
        </w:rPr>
        <w:t>,</w:t>
      </w:r>
      <w:r>
        <w:rPr>
          <w:rFonts w:ascii="Times New Roman" w:hAnsi="Times New Roman" w:cs="Times New Roman"/>
          <w:sz w:val="24"/>
          <w:szCs w:val="24"/>
        </w:rPr>
        <w:t xml:space="preserve"> listed </w:t>
      </w:r>
      <w:r w:rsidR="00096010">
        <w:rPr>
          <w:rFonts w:ascii="Times New Roman" w:hAnsi="Times New Roman" w:cs="Times New Roman"/>
          <w:sz w:val="24"/>
          <w:szCs w:val="24"/>
        </w:rPr>
        <w:t xml:space="preserve">on pages 7 and 8, </w:t>
      </w:r>
      <w:r>
        <w:rPr>
          <w:rFonts w:ascii="Times New Roman" w:hAnsi="Times New Roman" w:cs="Times New Roman"/>
          <w:sz w:val="24"/>
          <w:szCs w:val="24"/>
        </w:rPr>
        <w:t xml:space="preserve">as part of their programs.  </w:t>
      </w:r>
      <w:r w:rsidR="00096010">
        <w:rPr>
          <w:rFonts w:ascii="Times New Roman" w:hAnsi="Times New Roman" w:cs="Times New Roman"/>
          <w:sz w:val="24"/>
          <w:szCs w:val="24"/>
        </w:rPr>
        <w:t>Proposals can pick and choose other elements that fit the parameters of the program they present.</w:t>
      </w:r>
    </w:p>
    <w:p w14:paraId="203301CE" w14:textId="77777777" w:rsidR="00F778CE" w:rsidRPr="00F778CE" w:rsidRDefault="00F778CE" w:rsidP="00B044F5">
      <w:pPr>
        <w:pStyle w:val="ListParagraph"/>
        <w:jc w:val="both"/>
        <w:rPr>
          <w:rFonts w:ascii="Times New Roman" w:hAnsi="Times New Roman" w:cs="Times New Roman"/>
          <w:sz w:val="24"/>
          <w:szCs w:val="24"/>
        </w:rPr>
      </w:pPr>
    </w:p>
    <w:p w14:paraId="5FD8F049" w14:textId="77777777" w:rsidR="009D1E51" w:rsidRDefault="009D1E51" w:rsidP="00B044F5">
      <w:pPr>
        <w:pStyle w:val="ListParagraph"/>
        <w:numPr>
          <w:ilvl w:val="0"/>
          <w:numId w:val="1"/>
        </w:numPr>
        <w:spacing w:after="240" w:line="276" w:lineRule="auto"/>
        <w:jc w:val="both"/>
        <w:rPr>
          <w:rFonts w:ascii="Times New Roman" w:hAnsi="Times New Roman" w:cs="Times New Roman"/>
          <w:b/>
          <w:sz w:val="24"/>
          <w:szCs w:val="24"/>
        </w:rPr>
      </w:pPr>
      <w:r w:rsidRPr="00096010">
        <w:rPr>
          <w:rFonts w:ascii="Times New Roman" w:hAnsi="Times New Roman" w:cs="Times New Roman"/>
          <w:b/>
          <w:sz w:val="24"/>
          <w:szCs w:val="24"/>
        </w:rPr>
        <w:t>If an agency has multiple SETA contracts, including prior CSBG, which contracts will be</w:t>
      </w:r>
      <w:r w:rsidR="00F778CE" w:rsidRPr="00096010">
        <w:rPr>
          <w:rFonts w:ascii="Times New Roman" w:hAnsi="Times New Roman" w:cs="Times New Roman"/>
          <w:b/>
          <w:sz w:val="24"/>
          <w:szCs w:val="24"/>
        </w:rPr>
        <w:t xml:space="preserve"> considered in past performance?</w:t>
      </w:r>
    </w:p>
    <w:p w14:paraId="20870B8F" w14:textId="77777777" w:rsidR="00096010" w:rsidRDefault="00096010" w:rsidP="00B044F5">
      <w:pPr>
        <w:pStyle w:val="ListParagraph"/>
        <w:spacing w:after="240" w:line="276" w:lineRule="auto"/>
        <w:ind w:left="360"/>
        <w:jc w:val="both"/>
        <w:rPr>
          <w:rFonts w:ascii="Times New Roman" w:hAnsi="Times New Roman" w:cs="Times New Roman"/>
          <w:b/>
          <w:sz w:val="24"/>
          <w:szCs w:val="24"/>
        </w:rPr>
      </w:pPr>
    </w:p>
    <w:p w14:paraId="77D31F73" w14:textId="77777777" w:rsidR="00096010" w:rsidRPr="00096010" w:rsidRDefault="00E74990" w:rsidP="00B044F5">
      <w:pPr>
        <w:pStyle w:val="ListParagraph"/>
        <w:spacing w:after="240" w:line="276" w:lineRule="auto"/>
        <w:ind w:left="360"/>
        <w:jc w:val="both"/>
        <w:rPr>
          <w:rFonts w:ascii="Times New Roman" w:hAnsi="Times New Roman" w:cs="Times New Roman"/>
          <w:sz w:val="24"/>
          <w:szCs w:val="24"/>
        </w:rPr>
      </w:pPr>
      <w:r>
        <w:rPr>
          <w:rFonts w:ascii="Times New Roman" w:hAnsi="Times New Roman" w:cs="Times New Roman"/>
          <w:sz w:val="24"/>
          <w:szCs w:val="24"/>
        </w:rPr>
        <w:t>All SETA contracts will be considered for the past performance evaluation.</w:t>
      </w:r>
    </w:p>
    <w:p w14:paraId="796A68F3" w14:textId="77777777" w:rsidR="00F778CE" w:rsidRPr="00F778CE" w:rsidRDefault="00F778CE" w:rsidP="00B044F5">
      <w:pPr>
        <w:pStyle w:val="ListParagraph"/>
        <w:jc w:val="both"/>
        <w:rPr>
          <w:rFonts w:ascii="Times New Roman" w:hAnsi="Times New Roman" w:cs="Times New Roman"/>
          <w:sz w:val="24"/>
          <w:szCs w:val="24"/>
        </w:rPr>
      </w:pPr>
    </w:p>
    <w:p w14:paraId="02491AF5" w14:textId="77777777" w:rsidR="009D1E51" w:rsidRPr="00096010" w:rsidRDefault="009D1E51" w:rsidP="00B044F5">
      <w:pPr>
        <w:pStyle w:val="ListParagraph"/>
        <w:numPr>
          <w:ilvl w:val="0"/>
          <w:numId w:val="1"/>
        </w:numPr>
        <w:spacing w:after="240" w:line="276" w:lineRule="auto"/>
        <w:jc w:val="both"/>
        <w:rPr>
          <w:rFonts w:ascii="Times New Roman" w:hAnsi="Times New Roman" w:cs="Times New Roman"/>
          <w:b/>
          <w:sz w:val="24"/>
          <w:szCs w:val="24"/>
        </w:rPr>
      </w:pPr>
      <w:r w:rsidRPr="00096010">
        <w:rPr>
          <w:rFonts w:ascii="Times New Roman" w:hAnsi="Times New Roman" w:cs="Times New Roman"/>
          <w:b/>
          <w:sz w:val="24"/>
          <w:szCs w:val="24"/>
        </w:rPr>
        <w:t xml:space="preserve">Form 3 for FSS </w:t>
      </w:r>
      <w:r w:rsidR="00096010">
        <w:rPr>
          <w:rFonts w:ascii="Times New Roman" w:hAnsi="Times New Roman" w:cs="Times New Roman"/>
          <w:b/>
          <w:sz w:val="24"/>
          <w:szCs w:val="24"/>
        </w:rPr>
        <w:t>P</w:t>
      </w:r>
      <w:r w:rsidRPr="00096010">
        <w:rPr>
          <w:rFonts w:ascii="Times New Roman" w:hAnsi="Times New Roman" w:cs="Times New Roman"/>
          <w:b/>
          <w:sz w:val="24"/>
          <w:szCs w:val="24"/>
        </w:rPr>
        <w:t>r</w:t>
      </w:r>
      <w:r w:rsidR="001F2D86" w:rsidRPr="00096010">
        <w:rPr>
          <w:rFonts w:ascii="Times New Roman" w:hAnsi="Times New Roman" w:cs="Times New Roman"/>
          <w:b/>
          <w:sz w:val="24"/>
          <w:szCs w:val="24"/>
        </w:rPr>
        <w:t>ogram</w:t>
      </w:r>
      <w:r w:rsidR="00096010">
        <w:rPr>
          <w:rFonts w:ascii="Times New Roman" w:hAnsi="Times New Roman" w:cs="Times New Roman"/>
          <w:b/>
          <w:sz w:val="24"/>
          <w:szCs w:val="24"/>
        </w:rPr>
        <w:t>s</w:t>
      </w:r>
      <w:r w:rsidR="001F2D86" w:rsidRPr="00096010">
        <w:rPr>
          <w:rFonts w:ascii="Times New Roman" w:hAnsi="Times New Roman" w:cs="Times New Roman"/>
          <w:b/>
          <w:sz w:val="24"/>
          <w:szCs w:val="24"/>
        </w:rPr>
        <w:t>:</w:t>
      </w:r>
      <w:r w:rsidR="00096010">
        <w:rPr>
          <w:rFonts w:ascii="Times New Roman" w:hAnsi="Times New Roman" w:cs="Times New Roman"/>
          <w:b/>
          <w:sz w:val="24"/>
          <w:szCs w:val="24"/>
        </w:rPr>
        <w:t xml:space="preserve"> </w:t>
      </w:r>
      <w:r w:rsidR="001F2D86" w:rsidRPr="00096010">
        <w:rPr>
          <w:rFonts w:ascii="Times New Roman" w:hAnsi="Times New Roman" w:cs="Times New Roman"/>
          <w:b/>
          <w:sz w:val="24"/>
          <w:szCs w:val="24"/>
        </w:rPr>
        <w:t xml:space="preserve"> if impacted in more than one area, including housing people with disabilities, do you only request projections in one category</w:t>
      </w:r>
      <w:r w:rsidR="00096010">
        <w:rPr>
          <w:rFonts w:ascii="Times New Roman" w:hAnsi="Times New Roman" w:cs="Times New Roman"/>
          <w:b/>
          <w:sz w:val="24"/>
          <w:szCs w:val="24"/>
        </w:rPr>
        <w:t>?</w:t>
      </w:r>
    </w:p>
    <w:p w14:paraId="499BD30A" w14:textId="77777777" w:rsidR="00096010" w:rsidRDefault="00096010" w:rsidP="00B044F5">
      <w:pPr>
        <w:pStyle w:val="ListParagraph"/>
        <w:spacing w:after="240" w:line="276" w:lineRule="auto"/>
        <w:ind w:left="360"/>
        <w:jc w:val="both"/>
        <w:rPr>
          <w:rFonts w:ascii="Times New Roman" w:hAnsi="Times New Roman" w:cs="Times New Roman"/>
          <w:sz w:val="24"/>
          <w:szCs w:val="24"/>
        </w:rPr>
      </w:pPr>
    </w:p>
    <w:p w14:paraId="79FBFCA6" w14:textId="77777777" w:rsidR="00096010" w:rsidRPr="00096010" w:rsidRDefault="00096010" w:rsidP="00B044F5">
      <w:pPr>
        <w:pStyle w:val="ListParagraph"/>
        <w:spacing w:after="240" w:line="276" w:lineRule="auto"/>
        <w:ind w:left="360"/>
        <w:jc w:val="both"/>
        <w:rPr>
          <w:rFonts w:ascii="Times New Roman" w:hAnsi="Times New Roman" w:cs="Times New Roman"/>
          <w:b/>
          <w:sz w:val="24"/>
          <w:szCs w:val="24"/>
        </w:rPr>
      </w:pPr>
      <w:r>
        <w:rPr>
          <w:rFonts w:ascii="Times New Roman" w:hAnsi="Times New Roman" w:cs="Times New Roman"/>
          <w:sz w:val="24"/>
          <w:szCs w:val="24"/>
        </w:rPr>
        <w:t>If the proposing agency feels that they can meet the needs in multiple areas, it is allowable that more than one projection category be selected.  If the proposer feels that projections may be met in one category by some customers, but separate</w:t>
      </w:r>
      <w:r w:rsidR="00FD0FE9">
        <w:rPr>
          <w:rFonts w:ascii="Times New Roman" w:hAnsi="Times New Roman" w:cs="Times New Roman"/>
          <w:sz w:val="24"/>
          <w:szCs w:val="24"/>
        </w:rPr>
        <w:t xml:space="preserve"> projections may be met by</w:t>
      </w:r>
      <w:r>
        <w:rPr>
          <w:rFonts w:ascii="Times New Roman" w:hAnsi="Times New Roman" w:cs="Times New Roman"/>
          <w:sz w:val="24"/>
          <w:szCs w:val="24"/>
        </w:rPr>
        <w:t xml:space="preserve"> customers in the same program, multiple projection categories may be selected.  It is not required that multiple projection categories be selected.</w:t>
      </w:r>
    </w:p>
    <w:p w14:paraId="5318713A" w14:textId="77777777" w:rsidR="00F778CE" w:rsidRPr="00F778CE" w:rsidRDefault="00F778CE" w:rsidP="00B044F5">
      <w:pPr>
        <w:pStyle w:val="ListParagraph"/>
        <w:jc w:val="both"/>
        <w:rPr>
          <w:rFonts w:ascii="Times New Roman" w:hAnsi="Times New Roman" w:cs="Times New Roman"/>
          <w:sz w:val="24"/>
          <w:szCs w:val="24"/>
        </w:rPr>
      </w:pPr>
    </w:p>
    <w:p w14:paraId="6BBCA0E6" w14:textId="77777777" w:rsidR="001F2D86" w:rsidRPr="00096010" w:rsidRDefault="001F2D86" w:rsidP="00B044F5">
      <w:pPr>
        <w:pStyle w:val="ListParagraph"/>
        <w:numPr>
          <w:ilvl w:val="0"/>
          <w:numId w:val="1"/>
        </w:numPr>
        <w:spacing w:after="240" w:line="276" w:lineRule="auto"/>
        <w:jc w:val="both"/>
        <w:rPr>
          <w:rFonts w:ascii="Times New Roman" w:hAnsi="Times New Roman" w:cs="Times New Roman"/>
          <w:b/>
          <w:sz w:val="24"/>
          <w:szCs w:val="24"/>
        </w:rPr>
      </w:pPr>
      <w:r w:rsidRPr="00096010">
        <w:rPr>
          <w:rFonts w:ascii="Times New Roman" w:hAnsi="Times New Roman" w:cs="Times New Roman"/>
          <w:b/>
          <w:sz w:val="24"/>
          <w:szCs w:val="24"/>
        </w:rPr>
        <w:t xml:space="preserve">How can </w:t>
      </w:r>
      <w:r w:rsidR="00FD0FE9">
        <w:rPr>
          <w:rFonts w:ascii="Times New Roman" w:hAnsi="Times New Roman" w:cs="Times New Roman"/>
          <w:b/>
          <w:sz w:val="24"/>
          <w:szCs w:val="24"/>
        </w:rPr>
        <w:t xml:space="preserve">an </w:t>
      </w:r>
      <w:r w:rsidRPr="00096010">
        <w:rPr>
          <w:rFonts w:ascii="Times New Roman" w:hAnsi="Times New Roman" w:cs="Times New Roman"/>
          <w:b/>
          <w:sz w:val="24"/>
          <w:szCs w:val="24"/>
        </w:rPr>
        <w:t xml:space="preserve">agency distinguish </w:t>
      </w:r>
      <w:r w:rsidR="00FD0FE9">
        <w:rPr>
          <w:rFonts w:ascii="Times New Roman" w:hAnsi="Times New Roman" w:cs="Times New Roman"/>
          <w:b/>
          <w:sz w:val="24"/>
          <w:szCs w:val="24"/>
        </w:rPr>
        <w:t xml:space="preserve">between </w:t>
      </w:r>
      <w:r w:rsidRPr="00096010">
        <w:rPr>
          <w:rFonts w:ascii="Times New Roman" w:hAnsi="Times New Roman" w:cs="Times New Roman"/>
          <w:b/>
          <w:sz w:val="24"/>
          <w:szCs w:val="24"/>
        </w:rPr>
        <w:t xml:space="preserve">incentives </w:t>
      </w:r>
      <w:r w:rsidR="00FD0FE9">
        <w:rPr>
          <w:rFonts w:ascii="Times New Roman" w:hAnsi="Times New Roman" w:cs="Times New Roman"/>
          <w:b/>
          <w:sz w:val="24"/>
          <w:szCs w:val="24"/>
        </w:rPr>
        <w:t>and</w:t>
      </w:r>
      <w:r w:rsidRPr="00096010">
        <w:rPr>
          <w:rFonts w:ascii="Times New Roman" w:hAnsi="Times New Roman" w:cs="Times New Roman"/>
          <w:b/>
          <w:sz w:val="24"/>
          <w:szCs w:val="24"/>
        </w:rPr>
        <w:t xml:space="preserve"> support services?</w:t>
      </w:r>
    </w:p>
    <w:p w14:paraId="3E7587CC" w14:textId="77777777" w:rsidR="00096010" w:rsidRDefault="00096010" w:rsidP="00B044F5">
      <w:pPr>
        <w:pStyle w:val="ListParagraph"/>
        <w:spacing w:after="240" w:line="276" w:lineRule="auto"/>
        <w:ind w:left="360"/>
        <w:jc w:val="both"/>
        <w:rPr>
          <w:rFonts w:ascii="Times New Roman" w:hAnsi="Times New Roman" w:cs="Times New Roman"/>
          <w:sz w:val="24"/>
          <w:szCs w:val="24"/>
        </w:rPr>
      </w:pPr>
    </w:p>
    <w:p w14:paraId="3DE77AD8" w14:textId="77777777" w:rsidR="00096010" w:rsidRPr="00096010" w:rsidRDefault="00096010" w:rsidP="00B044F5">
      <w:pPr>
        <w:pStyle w:val="ListParagraph"/>
        <w:spacing w:after="240" w:line="276" w:lineRule="auto"/>
        <w:ind w:left="360"/>
        <w:jc w:val="both"/>
        <w:rPr>
          <w:rFonts w:ascii="Times New Roman" w:hAnsi="Times New Roman" w:cs="Times New Roman"/>
          <w:b/>
          <w:sz w:val="24"/>
          <w:szCs w:val="24"/>
        </w:rPr>
      </w:pPr>
      <w:r>
        <w:rPr>
          <w:rFonts w:ascii="Times New Roman" w:hAnsi="Times New Roman" w:cs="Times New Roman"/>
          <w:sz w:val="24"/>
          <w:szCs w:val="24"/>
        </w:rPr>
        <w:t>Incentives are rewards for achieving specified goals or benchmarks; support services are provided when a participant has an unmet need, perhaps on an emergency basis, such as food or assistance with rent/utilities/transportation.</w:t>
      </w:r>
    </w:p>
    <w:p w14:paraId="74609339" w14:textId="77777777" w:rsidR="00F778CE" w:rsidRPr="00F778CE" w:rsidRDefault="00F778CE" w:rsidP="00B044F5">
      <w:pPr>
        <w:pStyle w:val="ListParagraph"/>
        <w:jc w:val="both"/>
        <w:rPr>
          <w:rFonts w:ascii="Times New Roman" w:hAnsi="Times New Roman" w:cs="Times New Roman"/>
          <w:sz w:val="24"/>
          <w:szCs w:val="24"/>
        </w:rPr>
      </w:pPr>
    </w:p>
    <w:p w14:paraId="37FCDAFB" w14:textId="77777777" w:rsidR="001F2D86" w:rsidRPr="00096010" w:rsidRDefault="001F2D86" w:rsidP="00B044F5">
      <w:pPr>
        <w:pStyle w:val="ListParagraph"/>
        <w:numPr>
          <w:ilvl w:val="0"/>
          <w:numId w:val="1"/>
        </w:numPr>
        <w:spacing w:after="240" w:line="276" w:lineRule="auto"/>
        <w:jc w:val="both"/>
        <w:rPr>
          <w:rFonts w:ascii="Times New Roman" w:hAnsi="Times New Roman" w:cs="Times New Roman"/>
          <w:b/>
          <w:sz w:val="24"/>
          <w:szCs w:val="24"/>
        </w:rPr>
      </w:pPr>
      <w:r w:rsidRPr="00096010">
        <w:rPr>
          <w:rFonts w:ascii="Times New Roman" w:hAnsi="Times New Roman" w:cs="Times New Roman"/>
          <w:b/>
          <w:sz w:val="24"/>
          <w:szCs w:val="24"/>
        </w:rPr>
        <w:t>Can an incentive be a gift card or cash?</w:t>
      </w:r>
    </w:p>
    <w:p w14:paraId="7A69B0F6" w14:textId="77777777" w:rsidR="00096010" w:rsidRDefault="00096010" w:rsidP="00B044F5">
      <w:pPr>
        <w:pStyle w:val="ListParagraph"/>
        <w:spacing w:after="240" w:line="276" w:lineRule="auto"/>
        <w:ind w:left="360"/>
        <w:jc w:val="both"/>
        <w:rPr>
          <w:rFonts w:ascii="Times New Roman" w:hAnsi="Times New Roman" w:cs="Times New Roman"/>
          <w:sz w:val="24"/>
          <w:szCs w:val="24"/>
        </w:rPr>
      </w:pPr>
    </w:p>
    <w:p w14:paraId="43B6CF25" w14:textId="77777777" w:rsidR="00096010" w:rsidRPr="00096010" w:rsidRDefault="00096010" w:rsidP="00B044F5">
      <w:pPr>
        <w:pStyle w:val="ListParagraph"/>
        <w:spacing w:after="240" w:line="276" w:lineRule="auto"/>
        <w:ind w:left="360"/>
        <w:jc w:val="both"/>
        <w:rPr>
          <w:rFonts w:ascii="Times New Roman" w:hAnsi="Times New Roman" w:cs="Times New Roman"/>
          <w:b/>
          <w:sz w:val="24"/>
          <w:szCs w:val="24"/>
        </w:rPr>
      </w:pPr>
      <w:r>
        <w:rPr>
          <w:rFonts w:ascii="Times New Roman" w:hAnsi="Times New Roman" w:cs="Times New Roman"/>
          <w:sz w:val="24"/>
          <w:szCs w:val="24"/>
        </w:rPr>
        <w:t>Incentives must be provided in the form of gift cards</w:t>
      </w:r>
      <w:r w:rsidR="00F1429E">
        <w:rPr>
          <w:rFonts w:ascii="Times New Roman" w:hAnsi="Times New Roman" w:cs="Times New Roman"/>
          <w:sz w:val="24"/>
          <w:szCs w:val="24"/>
        </w:rPr>
        <w:t xml:space="preserve"> or vouchers</w:t>
      </w:r>
      <w:r>
        <w:rPr>
          <w:rFonts w:ascii="Times New Roman" w:hAnsi="Times New Roman" w:cs="Times New Roman"/>
          <w:sz w:val="24"/>
          <w:szCs w:val="24"/>
        </w:rPr>
        <w:t>; cash is not approved as an incentive.</w:t>
      </w:r>
    </w:p>
    <w:p w14:paraId="573588FE" w14:textId="77777777" w:rsidR="00F778CE" w:rsidRPr="00F778CE" w:rsidRDefault="00F778CE" w:rsidP="00B044F5">
      <w:pPr>
        <w:pStyle w:val="ListParagraph"/>
        <w:ind w:left="0"/>
        <w:jc w:val="both"/>
        <w:rPr>
          <w:rFonts w:ascii="Times New Roman" w:hAnsi="Times New Roman" w:cs="Times New Roman"/>
          <w:sz w:val="24"/>
          <w:szCs w:val="24"/>
        </w:rPr>
      </w:pPr>
    </w:p>
    <w:p w14:paraId="3BD56E36" w14:textId="77777777" w:rsidR="001F2D86" w:rsidRPr="00096010" w:rsidRDefault="001F2D86" w:rsidP="00B044F5">
      <w:pPr>
        <w:pStyle w:val="ListParagraph"/>
        <w:numPr>
          <w:ilvl w:val="0"/>
          <w:numId w:val="1"/>
        </w:numPr>
        <w:spacing w:after="240" w:line="276" w:lineRule="auto"/>
        <w:ind w:right="-180"/>
        <w:jc w:val="both"/>
        <w:rPr>
          <w:rFonts w:ascii="Times New Roman" w:hAnsi="Times New Roman" w:cs="Times New Roman"/>
          <w:b/>
          <w:sz w:val="24"/>
          <w:szCs w:val="24"/>
        </w:rPr>
      </w:pPr>
      <w:r w:rsidRPr="00096010">
        <w:rPr>
          <w:rFonts w:ascii="Times New Roman" w:hAnsi="Times New Roman" w:cs="Times New Roman"/>
          <w:b/>
          <w:sz w:val="24"/>
          <w:szCs w:val="24"/>
        </w:rPr>
        <w:t>How will safe &amp; stable or healthy life</w:t>
      </w:r>
      <w:r w:rsidR="006E5FEF">
        <w:rPr>
          <w:rFonts w:ascii="Times New Roman" w:hAnsi="Times New Roman" w:cs="Times New Roman"/>
          <w:b/>
          <w:sz w:val="24"/>
          <w:szCs w:val="24"/>
        </w:rPr>
        <w:t xml:space="preserve"> be determined as a</w:t>
      </w:r>
      <w:r w:rsidRPr="00096010">
        <w:rPr>
          <w:rFonts w:ascii="Times New Roman" w:hAnsi="Times New Roman" w:cs="Times New Roman"/>
          <w:b/>
          <w:sz w:val="24"/>
          <w:szCs w:val="24"/>
        </w:rPr>
        <w:t xml:space="preserve"> positive outcome for </w:t>
      </w:r>
      <w:r w:rsidR="000F2664" w:rsidRPr="00096010">
        <w:rPr>
          <w:rFonts w:ascii="Times New Roman" w:hAnsi="Times New Roman" w:cs="Times New Roman"/>
          <w:b/>
          <w:sz w:val="24"/>
          <w:szCs w:val="24"/>
        </w:rPr>
        <w:t>F</w:t>
      </w:r>
      <w:r w:rsidRPr="00096010">
        <w:rPr>
          <w:rFonts w:ascii="Times New Roman" w:hAnsi="Times New Roman" w:cs="Times New Roman"/>
          <w:b/>
          <w:sz w:val="24"/>
          <w:szCs w:val="24"/>
        </w:rPr>
        <w:t>SS?</w:t>
      </w:r>
    </w:p>
    <w:p w14:paraId="05F1E3B7" w14:textId="77777777" w:rsidR="00096010" w:rsidRDefault="00096010" w:rsidP="00B044F5">
      <w:pPr>
        <w:pStyle w:val="ListParagraph"/>
        <w:spacing w:after="240" w:line="276" w:lineRule="auto"/>
        <w:ind w:left="360" w:right="-180"/>
        <w:jc w:val="both"/>
        <w:rPr>
          <w:rFonts w:ascii="Times New Roman" w:hAnsi="Times New Roman" w:cs="Times New Roman"/>
          <w:sz w:val="24"/>
          <w:szCs w:val="24"/>
        </w:rPr>
      </w:pPr>
    </w:p>
    <w:p w14:paraId="2BB98BA5" w14:textId="3CB8DF3C" w:rsidR="00096010" w:rsidRPr="00096010" w:rsidRDefault="00FD0FE9" w:rsidP="00B044F5">
      <w:pPr>
        <w:pStyle w:val="ListParagraph"/>
        <w:spacing w:after="240" w:line="276" w:lineRule="auto"/>
        <w:ind w:left="360" w:right="-180"/>
        <w:jc w:val="both"/>
        <w:rPr>
          <w:rFonts w:ascii="Times New Roman" w:hAnsi="Times New Roman" w:cs="Times New Roman"/>
          <w:b/>
          <w:sz w:val="24"/>
          <w:szCs w:val="24"/>
        </w:rPr>
      </w:pPr>
      <w:r>
        <w:rPr>
          <w:rFonts w:ascii="Times New Roman" w:hAnsi="Times New Roman" w:cs="Times New Roman"/>
          <w:sz w:val="24"/>
          <w:szCs w:val="24"/>
        </w:rPr>
        <w:t xml:space="preserve">The section in Form 3, which addresses programs focused primarily on people with disabilities, requests the projected number of individuals who demonstrate improved mental and behavioral health and well-being.  </w:t>
      </w:r>
      <w:r w:rsidR="00096010">
        <w:rPr>
          <w:rFonts w:ascii="Times New Roman" w:hAnsi="Times New Roman" w:cs="Times New Roman"/>
          <w:sz w:val="24"/>
          <w:szCs w:val="24"/>
        </w:rPr>
        <w:t>This would be self</w:t>
      </w:r>
      <w:r w:rsidR="006E5FEF">
        <w:rPr>
          <w:rFonts w:ascii="Times New Roman" w:hAnsi="Times New Roman" w:cs="Times New Roman"/>
          <w:sz w:val="24"/>
          <w:szCs w:val="24"/>
        </w:rPr>
        <w:t>-reported by the participant,</w:t>
      </w:r>
      <w:r w:rsidR="00096010">
        <w:rPr>
          <w:rFonts w:ascii="Times New Roman" w:hAnsi="Times New Roman" w:cs="Times New Roman"/>
          <w:sz w:val="24"/>
          <w:szCs w:val="24"/>
        </w:rPr>
        <w:t xml:space="preserve"> </w:t>
      </w:r>
      <w:r w:rsidR="00E62EB6">
        <w:rPr>
          <w:rFonts w:ascii="Times New Roman" w:hAnsi="Times New Roman" w:cs="Times New Roman"/>
          <w:sz w:val="24"/>
          <w:szCs w:val="24"/>
        </w:rPr>
        <w:t>based on</w:t>
      </w:r>
      <w:r w:rsidR="00096010">
        <w:rPr>
          <w:rFonts w:ascii="Times New Roman" w:hAnsi="Times New Roman" w:cs="Times New Roman"/>
          <w:sz w:val="24"/>
          <w:szCs w:val="24"/>
        </w:rPr>
        <w:t xml:space="preserve"> </w:t>
      </w:r>
      <w:r w:rsidR="006E5FEF">
        <w:rPr>
          <w:rFonts w:ascii="Times New Roman" w:hAnsi="Times New Roman" w:cs="Times New Roman"/>
          <w:sz w:val="24"/>
          <w:szCs w:val="24"/>
        </w:rPr>
        <w:t xml:space="preserve">goals established by mutual agreement </w:t>
      </w:r>
      <w:r w:rsidR="00E62EB6">
        <w:rPr>
          <w:rFonts w:ascii="Times New Roman" w:hAnsi="Times New Roman" w:cs="Times New Roman"/>
          <w:sz w:val="24"/>
          <w:szCs w:val="24"/>
        </w:rPr>
        <w:t>between</w:t>
      </w:r>
      <w:r w:rsidR="006E5FEF">
        <w:rPr>
          <w:rFonts w:ascii="Times New Roman" w:hAnsi="Times New Roman" w:cs="Times New Roman"/>
          <w:sz w:val="24"/>
          <w:szCs w:val="24"/>
        </w:rPr>
        <w:t xml:space="preserve"> the participant and case manager, or by criteria established as successful outcomes.  It is dependent on the outcomes which the proposing agency articulates for its program.</w:t>
      </w:r>
    </w:p>
    <w:p w14:paraId="082EFA35" w14:textId="77777777" w:rsidR="00F778CE" w:rsidRPr="00F778CE" w:rsidRDefault="00F778CE" w:rsidP="00B044F5">
      <w:pPr>
        <w:pStyle w:val="ListParagraph"/>
        <w:jc w:val="both"/>
        <w:rPr>
          <w:rFonts w:ascii="Times New Roman" w:hAnsi="Times New Roman" w:cs="Times New Roman"/>
          <w:sz w:val="24"/>
          <w:szCs w:val="24"/>
        </w:rPr>
      </w:pPr>
    </w:p>
    <w:p w14:paraId="0D417EC0" w14:textId="77777777" w:rsidR="001F2D86" w:rsidRPr="006E5FEF" w:rsidRDefault="001F2D86" w:rsidP="00B044F5">
      <w:pPr>
        <w:pStyle w:val="ListParagraph"/>
        <w:numPr>
          <w:ilvl w:val="0"/>
          <w:numId w:val="1"/>
        </w:numPr>
        <w:spacing w:after="240" w:line="276" w:lineRule="auto"/>
        <w:jc w:val="both"/>
        <w:rPr>
          <w:rFonts w:ascii="Times New Roman" w:hAnsi="Times New Roman" w:cs="Times New Roman"/>
          <w:b/>
          <w:sz w:val="24"/>
          <w:szCs w:val="24"/>
        </w:rPr>
      </w:pPr>
      <w:r w:rsidRPr="006E5FEF">
        <w:rPr>
          <w:rFonts w:ascii="Times New Roman" w:hAnsi="Times New Roman" w:cs="Times New Roman"/>
          <w:b/>
          <w:sz w:val="24"/>
          <w:szCs w:val="24"/>
        </w:rPr>
        <w:t>Would you like systemic barriers (attributes) identified by case?</w:t>
      </w:r>
    </w:p>
    <w:p w14:paraId="24A847C5" w14:textId="77777777" w:rsidR="006E5FEF" w:rsidRDefault="006E5FEF" w:rsidP="00B044F5">
      <w:pPr>
        <w:pStyle w:val="ListParagraph"/>
        <w:spacing w:after="240" w:line="276" w:lineRule="auto"/>
        <w:ind w:left="360"/>
        <w:jc w:val="both"/>
        <w:rPr>
          <w:rFonts w:ascii="Times New Roman" w:hAnsi="Times New Roman" w:cs="Times New Roman"/>
          <w:sz w:val="24"/>
          <w:szCs w:val="24"/>
        </w:rPr>
      </w:pPr>
    </w:p>
    <w:p w14:paraId="66D616FF" w14:textId="77777777" w:rsidR="006E5FEF" w:rsidRPr="006E5FEF" w:rsidRDefault="006E5FEF" w:rsidP="00B044F5">
      <w:pPr>
        <w:pStyle w:val="ListParagraph"/>
        <w:spacing w:after="240" w:line="276" w:lineRule="auto"/>
        <w:ind w:left="360"/>
        <w:jc w:val="both"/>
        <w:rPr>
          <w:rFonts w:ascii="Times New Roman" w:hAnsi="Times New Roman" w:cs="Times New Roman"/>
          <w:b/>
          <w:sz w:val="24"/>
          <w:szCs w:val="24"/>
        </w:rPr>
      </w:pPr>
      <w:r>
        <w:rPr>
          <w:rFonts w:ascii="Times New Roman" w:hAnsi="Times New Roman" w:cs="Times New Roman"/>
          <w:sz w:val="24"/>
          <w:szCs w:val="24"/>
        </w:rPr>
        <w:t>This RFP does not require projections for the identification of systemic barriers or for addressing the manner in which this is addressed on a case-by-case basis.  It asks for the proposer’s understanding of these issues, and experience in addressing them among the target population.</w:t>
      </w:r>
    </w:p>
    <w:p w14:paraId="3E3D2AF3" w14:textId="77777777" w:rsidR="00F778CE" w:rsidRPr="00F778CE" w:rsidRDefault="00F778CE" w:rsidP="00B044F5">
      <w:pPr>
        <w:pStyle w:val="ListParagraph"/>
        <w:jc w:val="both"/>
        <w:rPr>
          <w:rFonts w:ascii="Times New Roman" w:hAnsi="Times New Roman" w:cs="Times New Roman"/>
          <w:sz w:val="24"/>
          <w:szCs w:val="24"/>
        </w:rPr>
      </w:pPr>
    </w:p>
    <w:p w14:paraId="4BA57ED9" w14:textId="77777777" w:rsidR="001F2D86" w:rsidRPr="006E5FEF" w:rsidRDefault="002A7DD3" w:rsidP="00B044F5">
      <w:pPr>
        <w:pStyle w:val="ListParagraph"/>
        <w:numPr>
          <w:ilvl w:val="0"/>
          <w:numId w:val="1"/>
        </w:numPr>
        <w:spacing w:after="240" w:line="276" w:lineRule="auto"/>
        <w:jc w:val="both"/>
        <w:rPr>
          <w:rFonts w:ascii="Times New Roman" w:hAnsi="Times New Roman" w:cs="Times New Roman"/>
          <w:b/>
          <w:sz w:val="24"/>
          <w:szCs w:val="24"/>
        </w:rPr>
      </w:pPr>
      <w:r w:rsidRPr="006E5FEF">
        <w:rPr>
          <w:rFonts w:ascii="Times New Roman" w:hAnsi="Times New Roman" w:cs="Times New Roman"/>
          <w:b/>
          <w:sz w:val="24"/>
          <w:szCs w:val="24"/>
        </w:rPr>
        <w:t>Form 3: Would you like carryover numbers to be uniquely mentioned?</w:t>
      </w:r>
    </w:p>
    <w:p w14:paraId="27002B1E" w14:textId="77777777" w:rsidR="006E5FEF" w:rsidRDefault="006E5FEF" w:rsidP="00B044F5">
      <w:pPr>
        <w:pStyle w:val="ListParagraph"/>
        <w:spacing w:after="240" w:line="276" w:lineRule="auto"/>
        <w:ind w:left="360"/>
        <w:jc w:val="both"/>
        <w:rPr>
          <w:rFonts w:ascii="Times New Roman" w:hAnsi="Times New Roman" w:cs="Times New Roman"/>
          <w:sz w:val="24"/>
          <w:szCs w:val="24"/>
        </w:rPr>
      </w:pPr>
    </w:p>
    <w:p w14:paraId="4C82E109" w14:textId="77777777" w:rsidR="006E5FEF" w:rsidRPr="006E5FEF" w:rsidRDefault="006E5FEF" w:rsidP="00B044F5">
      <w:pPr>
        <w:pStyle w:val="ListParagraph"/>
        <w:spacing w:after="240" w:line="276" w:lineRule="auto"/>
        <w:ind w:left="360"/>
        <w:jc w:val="both"/>
        <w:rPr>
          <w:rFonts w:ascii="Times New Roman" w:hAnsi="Times New Roman" w:cs="Times New Roman"/>
          <w:b/>
          <w:sz w:val="24"/>
          <w:szCs w:val="24"/>
        </w:rPr>
      </w:pPr>
      <w:r>
        <w:rPr>
          <w:rFonts w:ascii="Times New Roman" w:hAnsi="Times New Roman" w:cs="Times New Roman"/>
          <w:sz w:val="24"/>
          <w:szCs w:val="24"/>
        </w:rPr>
        <w:t>Carryover numbers do not need to be uniquely mentioned in the projections.  Projected enrollments may include enrollments from the previous year for continuing CSBG delegate agencies</w:t>
      </w:r>
      <w:r w:rsidR="00FD0FE9">
        <w:rPr>
          <w:rFonts w:ascii="Times New Roman" w:hAnsi="Times New Roman" w:cs="Times New Roman"/>
          <w:sz w:val="24"/>
          <w:szCs w:val="24"/>
        </w:rPr>
        <w:t xml:space="preserve"> which propose identical program outcomes.  This is because</w:t>
      </w:r>
      <w:r>
        <w:rPr>
          <w:rFonts w:ascii="Times New Roman" w:hAnsi="Times New Roman" w:cs="Times New Roman"/>
          <w:sz w:val="24"/>
          <w:szCs w:val="24"/>
        </w:rPr>
        <w:t xml:space="preserve"> households are counted once per calendar year </w:t>
      </w:r>
      <w:r w:rsidR="00FD0FE9">
        <w:rPr>
          <w:rFonts w:ascii="Times New Roman" w:hAnsi="Times New Roman" w:cs="Times New Roman"/>
          <w:sz w:val="24"/>
          <w:szCs w:val="24"/>
        </w:rPr>
        <w:t xml:space="preserve">if they are enrolled for the current year, </w:t>
      </w:r>
      <w:r w:rsidRPr="00FD0FE9">
        <w:rPr>
          <w:rFonts w:ascii="Times New Roman" w:hAnsi="Times New Roman" w:cs="Times New Roman"/>
          <w:i/>
          <w:sz w:val="24"/>
          <w:szCs w:val="24"/>
        </w:rPr>
        <w:t>whether or not</w:t>
      </w:r>
      <w:r>
        <w:rPr>
          <w:rFonts w:ascii="Times New Roman" w:hAnsi="Times New Roman" w:cs="Times New Roman"/>
          <w:sz w:val="24"/>
          <w:szCs w:val="24"/>
        </w:rPr>
        <w:t xml:space="preserve"> they were enrolled the previous year.  However, </w:t>
      </w:r>
      <w:r w:rsidR="00CB5795">
        <w:rPr>
          <w:rFonts w:ascii="Times New Roman" w:hAnsi="Times New Roman" w:cs="Times New Roman"/>
          <w:sz w:val="24"/>
          <w:szCs w:val="24"/>
        </w:rPr>
        <w:t>any deliverable projection (employment, obtaining housing, or avoiding recidivating event for 180 days) must take place during the current calendar year in order to be counted in that year.</w:t>
      </w:r>
    </w:p>
    <w:p w14:paraId="53FFE684" w14:textId="77777777" w:rsidR="00F778CE" w:rsidRPr="00F778CE" w:rsidRDefault="00F778CE" w:rsidP="00B044F5">
      <w:pPr>
        <w:pStyle w:val="ListParagraph"/>
        <w:jc w:val="both"/>
        <w:rPr>
          <w:rFonts w:ascii="Times New Roman" w:hAnsi="Times New Roman" w:cs="Times New Roman"/>
          <w:sz w:val="24"/>
          <w:szCs w:val="24"/>
        </w:rPr>
      </w:pPr>
    </w:p>
    <w:p w14:paraId="1B3B4466" w14:textId="77777777" w:rsidR="002A7DD3" w:rsidRPr="002C2D51" w:rsidRDefault="002A7DD3" w:rsidP="00B044F5">
      <w:pPr>
        <w:pStyle w:val="ListParagraph"/>
        <w:numPr>
          <w:ilvl w:val="0"/>
          <w:numId w:val="1"/>
        </w:numPr>
        <w:spacing w:after="240" w:line="276" w:lineRule="auto"/>
        <w:jc w:val="both"/>
        <w:rPr>
          <w:rFonts w:ascii="Times New Roman" w:hAnsi="Times New Roman" w:cs="Times New Roman"/>
          <w:b/>
          <w:sz w:val="24"/>
          <w:szCs w:val="24"/>
        </w:rPr>
      </w:pPr>
      <w:r w:rsidRPr="002C2D51">
        <w:rPr>
          <w:rFonts w:ascii="Times New Roman" w:hAnsi="Times New Roman" w:cs="Times New Roman"/>
          <w:b/>
          <w:sz w:val="24"/>
          <w:szCs w:val="24"/>
        </w:rPr>
        <w:t xml:space="preserve">Regarding the systemic barriers: I’m excited to see this, but systemic change is a big deal, which can’t be resolved in a year with </w:t>
      </w:r>
      <w:r w:rsidR="00CA7241">
        <w:rPr>
          <w:rFonts w:ascii="Times New Roman" w:hAnsi="Times New Roman" w:cs="Times New Roman"/>
          <w:b/>
          <w:sz w:val="24"/>
          <w:szCs w:val="24"/>
        </w:rPr>
        <w:t xml:space="preserve">a </w:t>
      </w:r>
      <w:r w:rsidRPr="002C2D51">
        <w:rPr>
          <w:rFonts w:ascii="Times New Roman" w:hAnsi="Times New Roman" w:cs="Times New Roman"/>
          <w:b/>
          <w:sz w:val="24"/>
          <w:szCs w:val="24"/>
        </w:rPr>
        <w:t>$50,000 grant.</w:t>
      </w:r>
      <w:r w:rsidR="002C2D51">
        <w:rPr>
          <w:rFonts w:ascii="Times New Roman" w:hAnsi="Times New Roman" w:cs="Times New Roman"/>
          <w:b/>
          <w:sz w:val="24"/>
          <w:szCs w:val="24"/>
        </w:rPr>
        <w:t xml:space="preserve"> </w:t>
      </w:r>
      <w:r w:rsidRPr="002C2D51">
        <w:rPr>
          <w:rFonts w:ascii="Times New Roman" w:hAnsi="Times New Roman" w:cs="Times New Roman"/>
          <w:b/>
          <w:sz w:val="24"/>
          <w:szCs w:val="24"/>
        </w:rPr>
        <w:t xml:space="preserve"> Do you want us to discuss that we’re cognizant of systemic change, or to show how we address systemic change?</w:t>
      </w:r>
    </w:p>
    <w:p w14:paraId="4BBBCCDA" w14:textId="77777777" w:rsidR="00F778CE" w:rsidRDefault="00F778CE" w:rsidP="00B044F5">
      <w:pPr>
        <w:pStyle w:val="ListParagraph"/>
        <w:ind w:left="360"/>
        <w:jc w:val="both"/>
        <w:rPr>
          <w:rFonts w:ascii="Times New Roman" w:hAnsi="Times New Roman" w:cs="Times New Roman"/>
          <w:sz w:val="24"/>
          <w:szCs w:val="24"/>
        </w:rPr>
      </w:pPr>
    </w:p>
    <w:p w14:paraId="7EAEB230" w14:textId="77777777" w:rsidR="002C2D51" w:rsidRDefault="002C2D51" w:rsidP="00B044F5">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We do not anticipate that agencies will be able to resolve systemic barriers that have endured for generations on the basis of a $50,000 grant.  The question in Response 6 asks for the proposing agency’s awareness of these issues, </w:t>
      </w:r>
      <w:r w:rsidR="00A10790">
        <w:rPr>
          <w:rFonts w:ascii="Times New Roman" w:hAnsi="Times New Roman" w:cs="Times New Roman"/>
          <w:sz w:val="24"/>
          <w:szCs w:val="24"/>
        </w:rPr>
        <w:t xml:space="preserve">and </w:t>
      </w:r>
      <w:r>
        <w:rPr>
          <w:rFonts w:ascii="Times New Roman" w:hAnsi="Times New Roman" w:cs="Times New Roman"/>
          <w:sz w:val="24"/>
          <w:szCs w:val="24"/>
        </w:rPr>
        <w:t xml:space="preserve">how </w:t>
      </w:r>
      <w:r w:rsidR="00A10790">
        <w:rPr>
          <w:rFonts w:ascii="Times New Roman" w:hAnsi="Times New Roman" w:cs="Times New Roman"/>
          <w:sz w:val="24"/>
          <w:szCs w:val="24"/>
        </w:rPr>
        <w:t>the agency addresses</w:t>
      </w:r>
      <w:r>
        <w:rPr>
          <w:rFonts w:ascii="Times New Roman" w:hAnsi="Times New Roman" w:cs="Times New Roman"/>
          <w:sz w:val="24"/>
          <w:szCs w:val="24"/>
        </w:rPr>
        <w:t xml:space="preserve"> or may address such issues by providing specific examples.  </w:t>
      </w:r>
    </w:p>
    <w:p w14:paraId="0EF6EA54" w14:textId="77777777" w:rsidR="002C2D51" w:rsidRPr="00F778CE" w:rsidRDefault="002C2D51" w:rsidP="00B044F5">
      <w:pPr>
        <w:pStyle w:val="ListParagraph"/>
        <w:ind w:left="360"/>
        <w:jc w:val="both"/>
        <w:rPr>
          <w:rFonts w:ascii="Times New Roman" w:hAnsi="Times New Roman" w:cs="Times New Roman"/>
          <w:sz w:val="24"/>
          <w:szCs w:val="24"/>
        </w:rPr>
      </w:pPr>
    </w:p>
    <w:p w14:paraId="31885AFA" w14:textId="77777777" w:rsidR="002A7DD3" w:rsidRPr="002C2D51" w:rsidRDefault="002A7DD3" w:rsidP="00B044F5">
      <w:pPr>
        <w:pStyle w:val="ListParagraph"/>
        <w:numPr>
          <w:ilvl w:val="0"/>
          <w:numId w:val="1"/>
        </w:numPr>
        <w:spacing w:after="240" w:line="276" w:lineRule="auto"/>
        <w:jc w:val="both"/>
        <w:rPr>
          <w:rFonts w:ascii="Times New Roman" w:hAnsi="Times New Roman" w:cs="Times New Roman"/>
          <w:b/>
          <w:sz w:val="24"/>
          <w:szCs w:val="24"/>
        </w:rPr>
      </w:pPr>
      <w:r w:rsidRPr="002C2D51">
        <w:rPr>
          <w:rFonts w:ascii="Times New Roman" w:hAnsi="Times New Roman" w:cs="Times New Roman"/>
          <w:b/>
          <w:sz w:val="24"/>
          <w:szCs w:val="24"/>
        </w:rPr>
        <w:t>Do we have statistics or research on systemic barriers?</w:t>
      </w:r>
    </w:p>
    <w:p w14:paraId="57170714" w14:textId="77777777" w:rsidR="002C2D51" w:rsidRDefault="002C2D51" w:rsidP="00B044F5">
      <w:pPr>
        <w:pStyle w:val="ListParagraph"/>
        <w:spacing w:after="240" w:line="276" w:lineRule="auto"/>
        <w:ind w:left="360"/>
        <w:jc w:val="both"/>
        <w:rPr>
          <w:rFonts w:ascii="Times New Roman" w:hAnsi="Times New Roman" w:cs="Times New Roman"/>
          <w:sz w:val="24"/>
          <w:szCs w:val="24"/>
        </w:rPr>
      </w:pPr>
    </w:p>
    <w:p w14:paraId="29777770" w14:textId="08C138B3" w:rsidR="002C2D51" w:rsidRDefault="002C2D51" w:rsidP="00B044F5">
      <w:pPr>
        <w:pStyle w:val="ListParagraph"/>
        <w:spacing w:after="240" w:line="276" w:lineRule="auto"/>
        <w:ind w:left="360"/>
        <w:jc w:val="both"/>
        <w:rPr>
          <w:rFonts w:ascii="Times New Roman" w:hAnsi="Times New Roman" w:cs="Times New Roman"/>
          <w:sz w:val="24"/>
          <w:szCs w:val="24"/>
        </w:rPr>
      </w:pPr>
      <w:r>
        <w:rPr>
          <w:rFonts w:ascii="Times New Roman" w:hAnsi="Times New Roman" w:cs="Times New Roman"/>
          <w:sz w:val="24"/>
          <w:szCs w:val="24"/>
        </w:rPr>
        <w:t>There is a large body of research on this topic</w:t>
      </w:r>
      <w:r w:rsidR="00B05B4C">
        <w:rPr>
          <w:rFonts w:ascii="Times New Roman" w:hAnsi="Times New Roman" w:cs="Times New Roman"/>
          <w:sz w:val="24"/>
          <w:szCs w:val="24"/>
        </w:rPr>
        <w:t>, and statistics/research would vary depending on the target population to be served</w:t>
      </w:r>
      <w:r>
        <w:rPr>
          <w:rFonts w:ascii="Times New Roman" w:hAnsi="Times New Roman" w:cs="Times New Roman"/>
          <w:sz w:val="24"/>
          <w:szCs w:val="24"/>
        </w:rPr>
        <w:t xml:space="preserve">.  </w:t>
      </w:r>
    </w:p>
    <w:p w14:paraId="77A8F235" w14:textId="2760CA86" w:rsidR="00F84394" w:rsidRDefault="00F84394" w:rsidP="00B044F5">
      <w:pPr>
        <w:pStyle w:val="ListParagraph"/>
        <w:spacing w:after="240" w:line="276" w:lineRule="auto"/>
        <w:ind w:left="360"/>
        <w:jc w:val="both"/>
        <w:rPr>
          <w:rFonts w:ascii="Times New Roman" w:hAnsi="Times New Roman" w:cs="Times New Roman"/>
          <w:sz w:val="24"/>
          <w:szCs w:val="24"/>
        </w:rPr>
      </w:pPr>
    </w:p>
    <w:p w14:paraId="4746467A" w14:textId="77777777" w:rsidR="00F84394" w:rsidRPr="002C2D51" w:rsidRDefault="00F84394" w:rsidP="00B044F5">
      <w:pPr>
        <w:pStyle w:val="ListParagraph"/>
        <w:spacing w:after="240" w:line="276" w:lineRule="auto"/>
        <w:ind w:left="360"/>
        <w:jc w:val="both"/>
        <w:rPr>
          <w:rFonts w:ascii="Times New Roman" w:hAnsi="Times New Roman" w:cs="Times New Roman"/>
          <w:b/>
          <w:sz w:val="24"/>
          <w:szCs w:val="24"/>
        </w:rPr>
      </w:pPr>
      <w:bookmarkStart w:id="0" w:name="_GoBack"/>
      <w:bookmarkEnd w:id="0"/>
    </w:p>
    <w:p w14:paraId="672DD01D" w14:textId="77777777" w:rsidR="00F778CE" w:rsidRPr="00F778CE" w:rsidRDefault="00F778CE" w:rsidP="00B044F5">
      <w:pPr>
        <w:pStyle w:val="ListParagraph"/>
        <w:jc w:val="both"/>
        <w:rPr>
          <w:rFonts w:ascii="Times New Roman" w:hAnsi="Times New Roman" w:cs="Times New Roman"/>
          <w:sz w:val="24"/>
          <w:szCs w:val="24"/>
        </w:rPr>
      </w:pPr>
    </w:p>
    <w:p w14:paraId="6395CCDD" w14:textId="77777777" w:rsidR="002A7DD3" w:rsidRPr="002C2D51" w:rsidRDefault="002A7DD3" w:rsidP="00B044F5">
      <w:pPr>
        <w:pStyle w:val="ListParagraph"/>
        <w:numPr>
          <w:ilvl w:val="0"/>
          <w:numId w:val="1"/>
        </w:numPr>
        <w:spacing w:after="240" w:line="276" w:lineRule="auto"/>
        <w:jc w:val="both"/>
        <w:rPr>
          <w:rFonts w:ascii="Times New Roman" w:hAnsi="Times New Roman" w:cs="Times New Roman"/>
          <w:b/>
          <w:sz w:val="24"/>
          <w:szCs w:val="24"/>
        </w:rPr>
      </w:pPr>
      <w:r w:rsidRPr="002C2D51">
        <w:rPr>
          <w:rFonts w:ascii="Times New Roman" w:hAnsi="Times New Roman" w:cs="Times New Roman"/>
          <w:b/>
          <w:sz w:val="24"/>
          <w:szCs w:val="24"/>
        </w:rPr>
        <w:t>Do we have a rubric for a happy/stable lifestyle?</w:t>
      </w:r>
    </w:p>
    <w:p w14:paraId="04E11C72" w14:textId="77777777" w:rsidR="002C2D51" w:rsidRDefault="002C2D51" w:rsidP="00B044F5">
      <w:pPr>
        <w:pStyle w:val="ListParagraph"/>
        <w:spacing w:after="240" w:line="276" w:lineRule="auto"/>
        <w:ind w:left="360"/>
        <w:jc w:val="both"/>
        <w:rPr>
          <w:rFonts w:ascii="Times New Roman" w:hAnsi="Times New Roman" w:cs="Times New Roman"/>
          <w:sz w:val="24"/>
          <w:szCs w:val="24"/>
        </w:rPr>
      </w:pPr>
    </w:p>
    <w:p w14:paraId="4B0CF2F1" w14:textId="77777777" w:rsidR="002C2D51" w:rsidRPr="002C2D51" w:rsidRDefault="002C2D51" w:rsidP="00B044F5">
      <w:pPr>
        <w:pStyle w:val="ListParagraph"/>
        <w:spacing w:after="240" w:line="276"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The section in Form 3, which addresses programs focused primarily on people with disabilities, requests the projected number of individuals who demonstrate improved mental and behavioral health and well-being.  The proposal should outline the specific health and well-being outcomes being sought, and how those might be </w:t>
      </w:r>
      <w:r w:rsidR="009B124A">
        <w:rPr>
          <w:rFonts w:ascii="Times New Roman" w:hAnsi="Times New Roman" w:cs="Times New Roman"/>
          <w:sz w:val="24"/>
          <w:szCs w:val="24"/>
        </w:rPr>
        <w:t>assessed; outcomes might be a combination of participants’ self-reporting and objective results.</w:t>
      </w:r>
    </w:p>
    <w:p w14:paraId="4AD0E3DD" w14:textId="77777777" w:rsidR="00F778CE" w:rsidRPr="00F778CE" w:rsidRDefault="00F778CE" w:rsidP="00B044F5">
      <w:pPr>
        <w:pStyle w:val="ListParagraph"/>
        <w:jc w:val="both"/>
        <w:rPr>
          <w:rFonts w:ascii="Times New Roman" w:hAnsi="Times New Roman" w:cs="Times New Roman"/>
          <w:sz w:val="24"/>
          <w:szCs w:val="24"/>
        </w:rPr>
      </w:pPr>
    </w:p>
    <w:p w14:paraId="4AC266BB" w14:textId="77777777" w:rsidR="002A7DD3" w:rsidRPr="009B124A" w:rsidRDefault="002A7DD3" w:rsidP="00B044F5">
      <w:pPr>
        <w:pStyle w:val="ListParagraph"/>
        <w:numPr>
          <w:ilvl w:val="0"/>
          <w:numId w:val="1"/>
        </w:numPr>
        <w:spacing w:after="240" w:line="276" w:lineRule="auto"/>
        <w:jc w:val="both"/>
        <w:rPr>
          <w:rFonts w:ascii="Times New Roman" w:hAnsi="Times New Roman" w:cs="Times New Roman"/>
          <w:b/>
          <w:sz w:val="24"/>
          <w:szCs w:val="24"/>
        </w:rPr>
      </w:pPr>
      <w:r w:rsidRPr="009B124A">
        <w:rPr>
          <w:rFonts w:ascii="Times New Roman" w:hAnsi="Times New Roman" w:cs="Times New Roman"/>
          <w:b/>
          <w:sz w:val="24"/>
          <w:szCs w:val="24"/>
        </w:rPr>
        <w:t>Do you have a map of the target areas?</w:t>
      </w:r>
    </w:p>
    <w:p w14:paraId="1EEBFEC9" w14:textId="77777777" w:rsidR="009B124A" w:rsidRDefault="009B124A" w:rsidP="00B044F5">
      <w:pPr>
        <w:pStyle w:val="ListParagraph"/>
        <w:spacing w:after="240" w:line="276" w:lineRule="auto"/>
        <w:ind w:left="360"/>
        <w:jc w:val="both"/>
        <w:rPr>
          <w:rFonts w:ascii="Times New Roman" w:hAnsi="Times New Roman" w:cs="Times New Roman"/>
          <w:sz w:val="24"/>
          <w:szCs w:val="24"/>
        </w:rPr>
      </w:pPr>
    </w:p>
    <w:p w14:paraId="5E9A193E" w14:textId="13DE06DE" w:rsidR="00F778CE" w:rsidRDefault="009B124A" w:rsidP="00B044F5">
      <w:pPr>
        <w:pStyle w:val="ListParagraph"/>
        <w:spacing w:after="240" w:line="276" w:lineRule="auto"/>
        <w:ind w:left="360"/>
        <w:jc w:val="both"/>
        <w:rPr>
          <w:rFonts w:ascii="Times New Roman" w:hAnsi="Times New Roman" w:cs="Times New Roman"/>
          <w:sz w:val="24"/>
          <w:szCs w:val="24"/>
        </w:rPr>
      </w:pPr>
      <w:r>
        <w:rPr>
          <w:rFonts w:ascii="Times New Roman" w:hAnsi="Times New Roman" w:cs="Times New Roman"/>
          <w:sz w:val="24"/>
          <w:szCs w:val="24"/>
        </w:rPr>
        <w:t>No, but the target areas are listed in the RFP:  Lemon Hill, North Sacramento, Parkway, North Highlands, Florin, Arden Arcade, Foothill Farms, Sacramento City, La Riviera, Galt, and Carmichael.</w:t>
      </w:r>
      <w:r w:rsidR="00E1699C">
        <w:rPr>
          <w:rFonts w:ascii="Times New Roman" w:hAnsi="Times New Roman" w:cs="Times New Roman"/>
          <w:sz w:val="24"/>
          <w:szCs w:val="24"/>
        </w:rPr>
        <w:t xml:space="preserve">  These are established Census-Designated Places as identified on the U.S. Census website’s American Community Survey section.  Additional information about these target areas can be found in the SETA 2020-2021 CSBG Community Action Plan, available in the Public Information section of the SETA website.</w:t>
      </w:r>
    </w:p>
    <w:p w14:paraId="58C75084" w14:textId="77777777" w:rsidR="009B124A" w:rsidRPr="009B124A" w:rsidRDefault="009B124A" w:rsidP="00B044F5">
      <w:pPr>
        <w:pStyle w:val="ListParagraph"/>
        <w:spacing w:after="240" w:line="276" w:lineRule="auto"/>
        <w:ind w:left="360"/>
        <w:jc w:val="both"/>
        <w:rPr>
          <w:rFonts w:ascii="Times New Roman" w:hAnsi="Times New Roman" w:cs="Times New Roman"/>
          <w:b/>
          <w:sz w:val="24"/>
          <w:szCs w:val="24"/>
        </w:rPr>
      </w:pPr>
    </w:p>
    <w:p w14:paraId="7168AE7E" w14:textId="77777777" w:rsidR="002A7DD3" w:rsidRPr="00F778CE" w:rsidRDefault="00F778CE" w:rsidP="00B044F5">
      <w:pPr>
        <w:pStyle w:val="ListParagraph"/>
        <w:numPr>
          <w:ilvl w:val="0"/>
          <w:numId w:val="1"/>
        </w:numPr>
        <w:spacing w:after="240" w:line="276" w:lineRule="auto"/>
        <w:jc w:val="both"/>
        <w:rPr>
          <w:rFonts w:ascii="Times New Roman" w:hAnsi="Times New Roman" w:cs="Times New Roman"/>
          <w:sz w:val="24"/>
          <w:szCs w:val="24"/>
        </w:rPr>
      </w:pPr>
      <w:r>
        <w:rPr>
          <w:rFonts w:ascii="Times New Roman" w:hAnsi="Times New Roman" w:cs="Times New Roman"/>
          <w:b/>
          <w:sz w:val="24"/>
          <w:szCs w:val="24"/>
        </w:rPr>
        <w:t xml:space="preserve">Please note:  </w:t>
      </w:r>
      <w:r w:rsidR="002A7DD3" w:rsidRPr="00F778CE">
        <w:rPr>
          <w:rFonts w:ascii="Times New Roman" w:hAnsi="Times New Roman" w:cs="Times New Roman"/>
          <w:sz w:val="24"/>
          <w:szCs w:val="24"/>
        </w:rPr>
        <w:t>Marianne Sphar’s email addr</w:t>
      </w:r>
      <w:r>
        <w:rPr>
          <w:rFonts w:ascii="Times New Roman" w:hAnsi="Times New Roman" w:cs="Times New Roman"/>
          <w:sz w:val="24"/>
          <w:szCs w:val="24"/>
        </w:rPr>
        <w:t>ess is listed incorrectly on page</w:t>
      </w:r>
      <w:r w:rsidR="002A7DD3" w:rsidRPr="00F778CE">
        <w:rPr>
          <w:rFonts w:ascii="Times New Roman" w:hAnsi="Times New Roman" w:cs="Times New Roman"/>
          <w:sz w:val="24"/>
          <w:szCs w:val="24"/>
        </w:rPr>
        <w:t xml:space="preserve"> 58 (last page of attachment #10) of the RFP. </w:t>
      </w:r>
      <w:r>
        <w:rPr>
          <w:rFonts w:ascii="Times New Roman" w:hAnsi="Times New Roman" w:cs="Times New Roman"/>
          <w:sz w:val="24"/>
          <w:szCs w:val="24"/>
        </w:rPr>
        <w:t>Her correct email address is</w:t>
      </w:r>
      <w:r w:rsidR="002A7DD3" w:rsidRPr="00F778CE">
        <w:rPr>
          <w:rFonts w:ascii="Times New Roman" w:hAnsi="Times New Roman" w:cs="Times New Roman"/>
          <w:sz w:val="24"/>
          <w:szCs w:val="24"/>
        </w:rPr>
        <w:t xml:space="preserve"> </w:t>
      </w:r>
      <w:hyperlink r:id="rId6" w:history="1">
        <w:r w:rsidRPr="00396B2F">
          <w:rPr>
            <w:rStyle w:val="Hyperlink"/>
            <w:rFonts w:ascii="Times New Roman" w:hAnsi="Times New Roman" w:cs="Times New Roman"/>
            <w:sz w:val="24"/>
            <w:szCs w:val="24"/>
          </w:rPr>
          <w:t>Marianne.Sphar@seta.net</w:t>
        </w:r>
      </w:hyperlink>
      <w:r>
        <w:rPr>
          <w:rFonts w:ascii="Times New Roman" w:hAnsi="Times New Roman" w:cs="Times New Roman"/>
          <w:sz w:val="24"/>
          <w:szCs w:val="24"/>
        </w:rPr>
        <w:t xml:space="preserve">.  </w:t>
      </w:r>
    </w:p>
    <w:sectPr w:rsidR="002A7DD3" w:rsidRPr="00F778CE" w:rsidSect="00F77BDE">
      <w:pgSz w:w="12240" w:h="15840"/>
      <w:pgMar w:top="1440" w:right="126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50B3A"/>
    <w:multiLevelType w:val="hybridMultilevel"/>
    <w:tmpl w:val="49FEF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E6E291C"/>
    <w:multiLevelType w:val="hybridMultilevel"/>
    <w:tmpl w:val="9E20BF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5F"/>
    <w:rsid w:val="00080BF9"/>
    <w:rsid w:val="00096010"/>
    <w:rsid w:val="000F2664"/>
    <w:rsid w:val="001F2D86"/>
    <w:rsid w:val="002A7DD3"/>
    <w:rsid w:val="002C2D51"/>
    <w:rsid w:val="002D3BA5"/>
    <w:rsid w:val="0035111F"/>
    <w:rsid w:val="004146A7"/>
    <w:rsid w:val="00555F08"/>
    <w:rsid w:val="005B6DCF"/>
    <w:rsid w:val="00652940"/>
    <w:rsid w:val="006E5FEF"/>
    <w:rsid w:val="0073259A"/>
    <w:rsid w:val="00741B76"/>
    <w:rsid w:val="007573B9"/>
    <w:rsid w:val="00812134"/>
    <w:rsid w:val="008F7C43"/>
    <w:rsid w:val="00980856"/>
    <w:rsid w:val="00990A52"/>
    <w:rsid w:val="009B124A"/>
    <w:rsid w:val="009D1E51"/>
    <w:rsid w:val="00A10790"/>
    <w:rsid w:val="00A24E19"/>
    <w:rsid w:val="00A74CD2"/>
    <w:rsid w:val="00B044F5"/>
    <w:rsid w:val="00B05B4C"/>
    <w:rsid w:val="00B2455F"/>
    <w:rsid w:val="00B95A14"/>
    <w:rsid w:val="00C31463"/>
    <w:rsid w:val="00C61418"/>
    <w:rsid w:val="00CA7241"/>
    <w:rsid w:val="00CB5795"/>
    <w:rsid w:val="00CB6E6C"/>
    <w:rsid w:val="00CF72BD"/>
    <w:rsid w:val="00D91636"/>
    <w:rsid w:val="00DE3838"/>
    <w:rsid w:val="00E0375D"/>
    <w:rsid w:val="00E13BDB"/>
    <w:rsid w:val="00E1699C"/>
    <w:rsid w:val="00E33299"/>
    <w:rsid w:val="00E62EB6"/>
    <w:rsid w:val="00E74990"/>
    <w:rsid w:val="00E908CC"/>
    <w:rsid w:val="00ED5FD1"/>
    <w:rsid w:val="00F1429E"/>
    <w:rsid w:val="00F24E2B"/>
    <w:rsid w:val="00F778CE"/>
    <w:rsid w:val="00F77BDE"/>
    <w:rsid w:val="00F84394"/>
    <w:rsid w:val="00FD0FE9"/>
    <w:rsid w:val="00FD4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8C276"/>
  <w15:chartTrackingRefBased/>
  <w15:docId w15:val="{7EE1FAE0-2541-479D-87DF-2D24FD7F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55F"/>
    <w:pPr>
      <w:ind w:left="720"/>
      <w:contextualSpacing/>
    </w:pPr>
  </w:style>
  <w:style w:type="character" w:styleId="Hyperlink">
    <w:name w:val="Hyperlink"/>
    <w:basedOn w:val="DefaultParagraphFont"/>
    <w:uiPriority w:val="99"/>
    <w:unhideWhenUsed/>
    <w:rsid w:val="00F778CE"/>
    <w:rPr>
      <w:color w:val="0563C1" w:themeColor="hyperlink"/>
      <w:u w:val="single"/>
    </w:rPr>
  </w:style>
  <w:style w:type="paragraph" w:styleId="BalloonText">
    <w:name w:val="Balloon Text"/>
    <w:basedOn w:val="Normal"/>
    <w:link w:val="BalloonTextChar"/>
    <w:uiPriority w:val="99"/>
    <w:semiHidden/>
    <w:unhideWhenUsed/>
    <w:rsid w:val="00F142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29E"/>
    <w:rPr>
      <w:rFonts w:ascii="Segoe UI" w:hAnsi="Segoe UI" w:cs="Segoe UI"/>
      <w:sz w:val="18"/>
      <w:szCs w:val="18"/>
    </w:rPr>
  </w:style>
  <w:style w:type="character" w:styleId="CommentReference">
    <w:name w:val="annotation reference"/>
    <w:basedOn w:val="DefaultParagraphFont"/>
    <w:uiPriority w:val="99"/>
    <w:semiHidden/>
    <w:unhideWhenUsed/>
    <w:rsid w:val="00F1429E"/>
    <w:rPr>
      <w:sz w:val="16"/>
      <w:szCs w:val="16"/>
    </w:rPr>
  </w:style>
  <w:style w:type="paragraph" w:styleId="CommentText">
    <w:name w:val="annotation text"/>
    <w:basedOn w:val="Normal"/>
    <w:link w:val="CommentTextChar"/>
    <w:uiPriority w:val="99"/>
    <w:semiHidden/>
    <w:unhideWhenUsed/>
    <w:rsid w:val="00F1429E"/>
    <w:pPr>
      <w:spacing w:line="240" w:lineRule="auto"/>
    </w:pPr>
    <w:rPr>
      <w:sz w:val="20"/>
      <w:szCs w:val="20"/>
    </w:rPr>
  </w:style>
  <w:style w:type="character" w:customStyle="1" w:styleId="CommentTextChar">
    <w:name w:val="Comment Text Char"/>
    <w:basedOn w:val="DefaultParagraphFont"/>
    <w:link w:val="CommentText"/>
    <w:uiPriority w:val="99"/>
    <w:semiHidden/>
    <w:rsid w:val="00F1429E"/>
    <w:rPr>
      <w:sz w:val="20"/>
      <w:szCs w:val="20"/>
    </w:rPr>
  </w:style>
  <w:style w:type="paragraph" w:styleId="CommentSubject">
    <w:name w:val="annotation subject"/>
    <w:basedOn w:val="CommentText"/>
    <w:next w:val="CommentText"/>
    <w:link w:val="CommentSubjectChar"/>
    <w:uiPriority w:val="99"/>
    <w:semiHidden/>
    <w:unhideWhenUsed/>
    <w:rsid w:val="00F1429E"/>
    <w:rPr>
      <w:b/>
      <w:bCs/>
    </w:rPr>
  </w:style>
  <w:style w:type="character" w:customStyle="1" w:styleId="CommentSubjectChar">
    <w:name w:val="Comment Subject Char"/>
    <w:basedOn w:val="CommentTextChar"/>
    <w:link w:val="CommentSubject"/>
    <w:uiPriority w:val="99"/>
    <w:semiHidden/>
    <w:rsid w:val="00F1429E"/>
    <w:rPr>
      <w:b/>
      <w:bCs/>
      <w:sz w:val="20"/>
      <w:szCs w:val="20"/>
    </w:rPr>
  </w:style>
  <w:style w:type="paragraph" w:styleId="Revision">
    <w:name w:val="Revision"/>
    <w:hidden/>
    <w:uiPriority w:val="99"/>
    <w:semiHidden/>
    <w:rsid w:val="005B6DC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51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anne.Sphar@seta.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3C1C5-B2AA-474C-A2BC-651E2ECDB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1776</Words>
  <Characters>10124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De Leon</dc:creator>
  <cp:keywords/>
  <dc:description/>
  <cp:lastModifiedBy>Julie M. Davis-Jaffe</cp:lastModifiedBy>
  <cp:revision>2</cp:revision>
  <cp:lastPrinted>2019-08-16T20:24:00Z</cp:lastPrinted>
  <dcterms:created xsi:type="dcterms:W3CDTF">2019-08-16T22:19:00Z</dcterms:created>
  <dcterms:modified xsi:type="dcterms:W3CDTF">2019-08-16T22:19:00Z</dcterms:modified>
</cp:coreProperties>
</file>